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94395C" w:rsidP="00494130">
      <w:pPr>
        <w:pStyle w:val="Kop1"/>
        <w:spacing w:before="170"/>
        <w:ind w:left="0"/>
      </w:pPr>
      <w:r w:rsidRPr="003F20CD">
        <w:rPr>
          <w:rFonts w:ascii="Cambria" w:hAnsi="Cambria"/>
          <w:sz w:val="24"/>
          <w:szCs w:val="24"/>
        </w:rPr>
        <w:t xml:space="preserve">Assessing clinical implications and perspectives of the pathophysiological effects of erythrocytes and plasma free hemoglobin in autologous biologics for use in musculoskeletal regenerative medicine therapies. </w:t>
      </w:r>
    </w:p>
    <w:p w:rsidR="0094395C" w:rsidRDefault="0094395C" w:rsidP="0094395C">
      <w:pPr>
        <w:rPr>
          <w:sz w:val="20"/>
          <w:szCs w:val="20"/>
        </w:rPr>
      </w:pPr>
    </w:p>
    <w:p w:rsidR="0094395C" w:rsidRDefault="0094395C" w:rsidP="0094395C">
      <w:pPr>
        <w:rPr>
          <w:rFonts w:asciiTheme="majorHAnsi" w:hAnsiTheme="majorHAnsi"/>
          <w:color w:val="000000" w:themeColor="text1"/>
          <w:sz w:val="20"/>
          <w:szCs w:val="20"/>
          <w:vertAlign w:val="superscript"/>
        </w:rPr>
      </w:pPr>
      <w:r w:rsidRPr="0094395C">
        <w:rPr>
          <w:rFonts w:asciiTheme="majorHAnsi" w:hAnsiTheme="majorHAnsi"/>
          <w:sz w:val="20"/>
          <w:szCs w:val="20"/>
        </w:rPr>
        <w:t>Peter A. Everts PhD</w:t>
      </w:r>
      <w:r w:rsidRPr="0094395C">
        <w:rPr>
          <w:rFonts w:asciiTheme="majorHAnsi" w:hAnsiTheme="majorHAnsi"/>
          <w:sz w:val="20"/>
          <w:szCs w:val="20"/>
          <w:vertAlign w:val="superscript"/>
        </w:rPr>
        <w:t>1</w:t>
      </w:r>
      <w:r w:rsidRPr="0094395C">
        <w:rPr>
          <w:rFonts w:asciiTheme="majorHAnsi" w:hAnsiTheme="majorHAnsi"/>
          <w:sz w:val="20"/>
          <w:szCs w:val="20"/>
          <w:shd w:val="clear" w:color="auto" w:fill="FFFFFF"/>
        </w:rPr>
        <w:t xml:space="preserve">, </w:t>
      </w:r>
      <w:r w:rsidRPr="0094395C">
        <w:rPr>
          <w:rFonts w:asciiTheme="majorHAnsi" w:hAnsiTheme="majorHAnsi"/>
          <w:sz w:val="20"/>
          <w:szCs w:val="20"/>
          <w:shd w:val="clear" w:color="auto" w:fill="FFFFFF"/>
        </w:rPr>
        <w:t>Gerard A. Malanga MD</w:t>
      </w:r>
      <w:r w:rsidRPr="0094395C">
        <w:rPr>
          <w:rFonts w:asciiTheme="majorHAnsi" w:hAnsiTheme="majorHAnsi"/>
          <w:sz w:val="20"/>
          <w:szCs w:val="20"/>
          <w:vertAlign w:val="superscript"/>
        </w:rPr>
        <w:t>2</w:t>
      </w:r>
      <w:r w:rsidRPr="0094395C">
        <w:rPr>
          <w:rFonts w:asciiTheme="majorHAnsi" w:hAnsiTheme="majorHAnsi"/>
          <w:sz w:val="20"/>
          <w:szCs w:val="20"/>
          <w:vertAlign w:val="superscript"/>
        </w:rPr>
        <w:t xml:space="preserve">, </w:t>
      </w:r>
      <w:r w:rsidRPr="0094395C">
        <w:rPr>
          <w:rFonts w:asciiTheme="majorHAnsi" w:hAnsiTheme="majorHAnsi"/>
          <w:sz w:val="20"/>
          <w:szCs w:val="20"/>
          <w:shd w:val="clear" w:color="auto" w:fill="FFFFFF"/>
        </w:rPr>
        <w:t>Rowan V. Paul MD</w:t>
      </w:r>
      <w:r w:rsidRPr="0094395C">
        <w:rPr>
          <w:rFonts w:asciiTheme="majorHAnsi" w:hAnsiTheme="majorHAnsi"/>
          <w:sz w:val="20"/>
          <w:szCs w:val="20"/>
          <w:vertAlign w:val="superscript"/>
        </w:rPr>
        <w:t>3</w:t>
      </w:r>
      <w:r w:rsidRPr="0094395C">
        <w:rPr>
          <w:rFonts w:asciiTheme="majorHAnsi" w:hAnsiTheme="majorHAnsi"/>
          <w:sz w:val="20"/>
          <w:szCs w:val="20"/>
          <w:vertAlign w:val="superscript"/>
        </w:rPr>
        <w:t xml:space="preserve">, </w:t>
      </w:r>
      <w:r w:rsidRPr="0094395C">
        <w:rPr>
          <w:rFonts w:asciiTheme="majorHAnsi" w:hAnsiTheme="majorHAnsi"/>
          <w:sz w:val="20"/>
          <w:szCs w:val="20"/>
          <w:shd w:val="clear" w:color="auto" w:fill="FFFFFF"/>
        </w:rPr>
        <w:t>Josh B. Rothenberg MD</w:t>
      </w:r>
      <w:r w:rsidRPr="0094395C">
        <w:rPr>
          <w:rFonts w:asciiTheme="majorHAnsi" w:hAnsiTheme="majorHAnsi"/>
          <w:sz w:val="20"/>
          <w:szCs w:val="20"/>
          <w:vertAlign w:val="superscript"/>
        </w:rPr>
        <w:t>4</w:t>
      </w:r>
      <w:r w:rsidRPr="0094395C">
        <w:rPr>
          <w:rFonts w:asciiTheme="majorHAnsi" w:hAnsiTheme="majorHAnsi"/>
          <w:sz w:val="20"/>
          <w:szCs w:val="20"/>
          <w:vertAlign w:val="superscript"/>
        </w:rPr>
        <w:t xml:space="preserve">, </w:t>
      </w:r>
      <w:r w:rsidRPr="0094395C">
        <w:rPr>
          <w:rFonts w:asciiTheme="majorHAnsi" w:hAnsiTheme="majorHAnsi"/>
          <w:sz w:val="20"/>
          <w:szCs w:val="20"/>
          <w:shd w:val="clear" w:color="auto" w:fill="FFFFFF"/>
        </w:rPr>
        <w:t>Natalie Stephens</w:t>
      </w:r>
      <w:r w:rsidRPr="0094395C">
        <w:rPr>
          <w:rFonts w:asciiTheme="majorHAnsi" w:hAnsiTheme="majorHAnsi"/>
          <w:sz w:val="20"/>
          <w:szCs w:val="20"/>
        </w:rPr>
        <w:t xml:space="preserve"> PhD</w:t>
      </w:r>
      <w:r w:rsidRPr="0094395C">
        <w:rPr>
          <w:rFonts w:asciiTheme="majorHAnsi" w:hAnsiTheme="majorHAnsi"/>
          <w:sz w:val="20"/>
          <w:szCs w:val="20"/>
          <w:vertAlign w:val="superscript"/>
        </w:rPr>
        <w:t>5</w:t>
      </w:r>
      <w:r w:rsidRPr="0094395C">
        <w:rPr>
          <w:rFonts w:asciiTheme="majorHAnsi" w:hAnsiTheme="majorHAnsi"/>
          <w:sz w:val="20"/>
          <w:szCs w:val="20"/>
          <w:vertAlign w:val="superscript"/>
        </w:rPr>
        <w:t xml:space="preserve">, </w:t>
      </w:r>
      <w:r w:rsidRPr="0094395C">
        <w:rPr>
          <w:rFonts w:asciiTheme="majorHAnsi" w:hAnsiTheme="majorHAnsi"/>
          <w:sz w:val="20"/>
          <w:szCs w:val="20"/>
          <w:shd w:val="clear" w:color="auto" w:fill="FFFFFF"/>
        </w:rPr>
        <w:t>Kenneth R. Mautner</w:t>
      </w:r>
      <w:r w:rsidRPr="0094395C">
        <w:rPr>
          <w:rFonts w:asciiTheme="majorHAnsi" w:hAnsiTheme="majorHAnsi"/>
          <w:sz w:val="20"/>
          <w:szCs w:val="20"/>
        </w:rPr>
        <w:t xml:space="preserve"> MD</w:t>
      </w:r>
      <w:r w:rsidRPr="0094395C">
        <w:rPr>
          <w:rFonts w:asciiTheme="majorHAnsi" w:hAnsiTheme="majorHAnsi"/>
          <w:color w:val="000000" w:themeColor="text1"/>
          <w:sz w:val="20"/>
          <w:szCs w:val="20"/>
          <w:vertAlign w:val="superscript"/>
        </w:rPr>
        <w:t>6</w:t>
      </w:r>
      <w:r w:rsidRPr="0094395C">
        <w:rPr>
          <w:rFonts w:asciiTheme="majorHAnsi" w:hAnsiTheme="majorHAnsi"/>
          <w:color w:val="000000" w:themeColor="text1"/>
          <w:sz w:val="20"/>
          <w:szCs w:val="20"/>
          <w:vertAlign w:val="superscript"/>
        </w:rPr>
        <w:t>.</w:t>
      </w:r>
    </w:p>
    <w:p w:rsidR="0094395C" w:rsidRPr="0094395C" w:rsidRDefault="0094395C" w:rsidP="0094395C">
      <w:pPr>
        <w:rPr>
          <w:rFonts w:asciiTheme="majorHAnsi" w:hAnsiTheme="majorHAnsi"/>
          <w:sz w:val="20"/>
          <w:szCs w:val="20"/>
        </w:rPr>
      </w:pPr>
    </w:p>
    <w:p w:rsidR="0094395C" w:rsidRPr="0094395C" w:rsidRDefault="0094395C" w:rsidP="0094395C">
      <w:pPr>
        <w:rPr>
          <w:rFonts w:asciiTheme="majorHAnsi" w:hAnsiTheme="majorHAnsi"/>
          <w:sz w:val="20"/>
          <w:szCs w:val="20"/>
        </w:rPr>
      </w:pPr>
      <w:r w:rsidRPr="0094395C">
        <w:rPr>
          <w:rFonts w:asciiTheme="majorHAnsi" w:hAnsiTheme="majorHAnsi"/>
          <w:sz w:val="20"/>
          <w:szCs w:val="20"/>
          <w:vertAlign w:val="superscript"/>
        </w:rPr>
        <w:t xml:space="preserve">1 </w:t>
      </w:r>
      <w:r w:rsidRPr="0094395C">
        <w:rPr>
          <w:rFonts w:asciiTheme="majorHAnsi" w:hAnsiTheme="majorHAnsi"/>
          <w:sz w:val="20"/>
          <w:szCs w:val="20"/>
        </w:rPr>
        <w:t>Gulf Coast Biologics, Scientific and Research Department, Fort Myers FL, USA.</w:t>
      </w:r>
    </w:p>
    <w:p w:rsidR="0094395C" w:rsidRPr="0094395C" w:rsidRDefault="0094395C" w:rsidP="0094395C">
      <w:pPr>
        <w:rPr>
          <w:rFonts w:asciiTheme="majorHAnsi" w:hAnsiTheme="majorHAnsi"/>
          <w:sz w:val="20"/>
          <w:szCs w:val="20"/>
          <w:vertAlign w:val="superscript"/>
        </w:rPr>
      </w:pPr>
      <w:r w:rsidRPr="0094395C">
        <w:rPr>
          <w:rFonts w:asciiTheme="majorHAnsi" w:hAnsiTheme="majorHAnsi"/>
          <w:sz w:val="20"/>
          <w:szCs w:val="20"/>
          <w:vertAlign w:val="superscript"/>
        </w:rPr>
        <w:t xml:space="preserve">2 </w:t>
      </w:r>
      <w:r w:rsidRPr="0094395C">
        <w:rPr>
          <w:rFonts w:asciiTheme="majorHAnsi" w:hAnsiTheme="majorHAnsi"/>
          <w:color w:val="000000"/>
          <w:sz w:val="20"/>
          <w:szCs w:val="20"/>
          <w:shd w:val="clear" w:color="auto" w:fill="FFFFFF"/>
        </w:rPr>
        <w:t>New Jersey Regenerative Institute LLC, Cedar Knolls, NJ; Department of Physical Medicine and Rehabilitation, Rutgers University, New Jersey Medical School, Newark, NJ, USA.</w:t>
      </w:r>
      <w:r w:rsidRPr="0094395C">
        <w:rPr>
          <w:rFonts w:asciiTheme="majorHAnsi" w:hAnsiTheme="majorHAnsi"/>
          <w:sz w:val="20"/>
          <w:szCs w:val="20"/>
          <w:vertAlign w:val="superscript"/>
        </w:rPr>
        <w:t xml:space="preserve"> </w:t>
      </w:r>
    </w:p>
    <w:p w:rsidR="0094395C" w:rsidRPr="0094395C" w:rsidRDefault="0094395C" w:rsidP="0094395C">
      <w:pPr>
        <w:rPr>
          <w:rFonts w:asciiTheme="majorHAnsi" w:hAnsiTheme="majorHAnsi"/>
          <w:sz w:val="20"/>
          <w:szCs w:val="20"/>
          <w:vertAlign w:val="superscript"/>
          <w:lang w:val="es-AR"/>
        </w:rPr>
      </w:pPr>
      <w:r w:rsidRPr="0094395C">
        <w:rPr>
          <w:rFonts w:asciiTheme="majorHAnsi" w:hAnsiTheme="majorHAnsi"/>
          <w:sz w:val="20"/>
          <w:szCs w:val="20"/>
          <w:vertAlign w:val="superscript"/>
          <w:lang w:val="es-AR"/>
        </w:rPr>
        <w:t xml:space="preserve">3 </w:t>
      </w:r>
      <w:r w:rsidRPr="0094395C">
        <w:rPr>
          <w:rFonts w:asciiTheme="majorHAnsi" w:hAnsiTheme="majorHAnsi"/>
          <w:sz w:val="20"/>
          <w:szCs w:val="20"/>
          <w:lang w:val="es-AR"/>
        </w:rPr>
        <w:t>California Pacific Orthopedics, San Francisco, CA; California Pacific Medical Center, San Fransisco, CA, USA; Darthmouth Geisel School of Medicine, Hanover, NH, USA..</w:t>
      </w:r>
    </w:p>
    <w:p w:rsidR="0094395C" w:rsidRPr="0094395C" w:rsidRDefault="0094395C" w:rsidP="0094395C">
      <w:pPr>
        <w:rPr>
          <w:rFonts w:asciiTheme="majorHAnsi" w:hAnsiTheme="majorHAnsi"/>
          <w:sz w:val="20"/>
          <w:szCs w:val="20"/>
          <w:vertAlign w:val="superscript"/>
          <w:lang w:val="es-AR"/>
        </w:rPr>
      </w:pPr>
      <w:r w:rsidRPr="0094395C">
        <w:rPr>
          <w:rFonts w:asciiTheme="majorHAnsi" w:hAnsiTheme="majorHAnsi"/>
          <w:sz w:val="20"/>
          <w:szCs w:val="20"/>
          <w:vertAlign w:val="superscript"/>
          <w:lang w:val="es-AR"/>
        </w:rPr>
        <w:t xml:space="preserve">4 </w:t>
      </w:r>
      <w:r w:rsidRPr="0094395C">
        <w:rPr>
          <w:rFonts w:asciiTheme="majorHAnsi" w:hAnsiTheme="majorHAnsi"/>
          <w:sz w:val="20"/>
          <w:szCs w:val="20"/>
          <w:lang w:val="es-AR"/>
        </w:rPr>
        <w:t>Boca Raton Regional Hospital, Regenerative Medicine and Orthopedics Biologic Department; BocaCare Orthopedics, Boca Raton, FL, USA.</w:t>
      </w:r>
    </w:p>
    <w:p w:rsidR="0094395C" w:rsidRPr="0094395C" w:rsidRDefault="0094395C" w:rsidP="0094395C">
      <w:pPr>
        <w:rPr>
          <w:rFonts w:asciiTheme="majorHAnsi" w:hAnsiTheme="majorHAnsi"/>
          <w:sz w:val="20"/>
          <w:szCs w:val="20"/>
          <w:shd w:val="clear" w:color="auto" w:fill="FFFFFF"/>
        </w:rPr>
      </w:pPr>
      <w:r w:rsidRPr="0094395C">
        <w:rPr>
          <w:rFonts w:asciiTheme="majorHAnsi" w:hAnsiTheme="majorHAnsi"/>
          <w:sz w:val="20"/>
          <w:szCs w:val="20"/>
          <w:vertAlign w:val="superscript"/>
        </w:rPr>
        <w:t xml:space="preserve">5 </w:t>
      </w:r>
      <w:r w:rsidRPr="0094395C">
        <w:rPr>
          <w:rFonts w:asciiTheme="majorHAnsi" w:hAnsiTheme="majorHAnsi"/>
          <w:sz w:val="20"/>
          <w:szCs w:val="20"/>
          <w:shd w:val="clear" w:color="auto" w:fill="FFFFFF"/>
        </w:rPr>
        <w:t>Biosciences Research Associates, Cambridge MA, USA.</w:t>
      </w:r>
    </w:p>
    <w:p w:rsidR="0094395C" w:rsidRPr="0094395C" w:rsidRDefault="0094395C" w:rsidP="0094395C">
      <w:pPr>
        <w:rPr>
          <w:rFonts w:asciiTheme="majorHAnsi" w:hAnsiTheme="majorHAnsi"/>
          <w:color w:val="000000"/>
          <w:sz w:val="20"/>
          <w:szCs w:val="20"/>
        </w:rPr>
      </w:pPr>
      <w:r w:rsidRPr="0094395C">
        <w:rPr>
          <w:rFonts w:asciiTheme="majorHAnsi" w:hAnsiTheme="majorHAnsi"/>
          <w:color w:val="000000" w:themeColor="text1"/>
          <w:sz w:val="20"/>
          <w:szCs w:val="20"/>
          <w:vertAlign w:val="superscript"/>
        </w:rPr>
        <w:t xml:space="preserve">6 </w:t>
      </w:r>
      <w:r w:rsidRPr="0094395C">
        <w:rPr>
          <w:rFonts w:asciiTheme="majorHAnsi" w:hAnsiTheme="majorHAnsi"/>
          <w:color w:val="000000"/>
          <w:sz w:val="20"/>
          <w:szCs w:val="20"/>
        </w:rPr>
        <w:t>Emory University, Department of Physical Medicine &amp; Rehabilitation &amp; Department of Orthopedics, Atlanta, GA 30329, USA.</w:t>
      </w:r>
    </w:p>
    <w:p w:rsidR="0094395C" w:rsidRDefault="0094395C">
      <w:pPr>
        <w:rPr>
          <w:rFonts w:ascii="Arial"/>
          <w:sz w:val="21"/>
        </w:rPr>
        <w:sectPr w:rsidR="0094395C">
          <w:footerReference w:type="default" r:id="rId7"/>
          <w:type w:val="continuous"/>
          <w:pgSz w:w="11910" w:h="16840"/>
          <w:pgMar w:top="1740" w:right="600" w:bottom="840" w:left="620" w:header="541" w:footer="642" w:gutter="0"/>
          <w:cols w:space="720"/>
        </w:sectPr>
      </w:pPr>
    </w:p>
    <w:p w:rsidR="00AE3E37" w:rsidRDefault="00A9710C">
      <w:pPr>
        <w:pStyle w:val="Kop3"/>
        <w:spacing w:before="147"/>
        <w:jc w:val="both"/>
      </w:pPr>
      <w:r>
        <w:rPr>
          <w:color w:val="BF5A14"/>
        </w:rPr>
        <w:t>Abstract</w:t>
      </w:r>
      <w:r w:rsidR="00404E5B">
        <w:rPr>
          <w:color w:val="BF5A14"/>
        </w:rPr>
        <w:t xml:space="preserve"> </w:t>
      </w:r>
    </w:p>
    <w:p w:rsidR="0094395C" w:rsidRPr="003F20CD" w:rsidRDefault="0094395C" w:rsidP="0094395C">
      <w:pPr>
        <w:rPr>
          <w:rFonts w:ascii="Cambria" w:hAnsi="Cambria"/>
        </w:rPr>
      </w:pPr>
      <w:r w:rsidRPr="003F20CD">
        <w:rPr>
          <w:rFonts w:ascii="Cambria" w:hAnsi="Cambria"/>
        </w:rPr>
        <w:t>Autologous biologics, defined as platelet-rich plasma (PRP) and bone marrow aspirate stem cell concentrate (BMSC), are cell-based therapy treatment options in regenerative medicine practices, and have been increasingly used in orthopedics, sports medicine, and spinal disorders. These biological products are produced at point-of-care; thereby, avoiding expensive and cumbersome culturing and expansion techniques.</w:t>
      </w:r>
    </w:p>
    <w:p w:rsidR="0094395C" w:rsidRPr="003F20CD" w:rsidRDefault="0094395C" w:rsidP="0094395C">
      <w:pPr>
        <w:rPr>
          <w:rFonts w:ascii="Cambria" w:hAnsi="Cambria"/>
        </w:rPr>
      </w:pPr>
      <w:r w:rsidRPr="003F20CD">
        <w:rPr>
          <w:rFonts w:ascii="Cambria" w:hAnsi="Cambria"/>
        </w:rPr>
        <w:t>Numerous commercial PRP and BMSC systems are available but reports and knowledge of bio-cellular formulations produced by these systems are limited. This limited information hinders evaluating clinical and research outcomes and thus making conclusions about their biological effectiveness. Some of their important cellular and protein properties have not been characterized, which is critical for understanding the mechanisms of actions involved in tissue regenerative processes. The presence and role of red blood cells (RBCs) in any biologic has not been addressed extensively. Furthermore, some of the pathophysiological effects and phenomena related to RBCs have not been studied. A lack of a complete understanding of all of the biological components and their functional consequences hampers the development of clinical standards for any biological preparation.</w:t>
      </w:r>
    </w:p>
    <w:p w:rsidR="0094395C" w:rsidRPr="003F20CD" w:rsidRDefault="0094395C" w:rsidP="0094395C">
      <w:pPr>
        <w:rPr>
          <w:rFonts w:ascii="Cambria" w:hAnsi="Cambria"/>
        </w:rPr>
      </w:pPr>
      <w:r w:rsidRPr="003F20CD">
        <w:rPr>
          <w:rFonts w:ascii="Cambria" w:hAnsi="Cambria"/>
        </w:rPr>
        <w:t>This lecture aims to review the clinical implications and pathophysiological effects of RBCs in PRP and BMSC; emphasizes hemolysis, eryptosis, and the release of macrophage inhibitory factor; and explains several effects on the microenvironment, such as inflammation, oxidative stress, vasoconstriction, and impaired cell metabolism.</w:t>
      </w:r>
    </w:p>
    <w:p w:rsidR="00AE3E37" w:rsidRDefault="00AE3E37">
      <w:pPr>
        <w:pStyle w:val="Plattetekst"/>
        <w:spacing w:before="90" w:line="280" w:lineRule="auto"/>
        <w:ind w:left="100"/>
        <w:jc w:val="both"/>
      </w:pPr>
    </w:p>
    <w:p w:rsidR="00AE3E37" w:rsidRDefault="00A9710C">
      <w:pPr>
        <w:pStyle w:val="Kop3"/>
        <w:spacing w:before="74"/>
      </w:pPr>
      <w:r>
        <w:rPr>
          <w:b w:val="0"/>
        </w:rPr>
        <w:br w:type="column"/>
      </w:r>
      <w:r>
        <w:rPr>
          <w:color w:val="BF5A14"/>
        </w:rPr>
        <w:t>Image</w:t>
      </w:r>
    </w:p>
    <w:p w:rsidR="00AE3E37" w:rsidRDefault="00AE3E37">
      <w:pPr>
        <w:pStyle w:val="Plattetekst"/>
        <w:spacing w:before="2"/>
        <w:rPr>
          <w:rFonts w:ascii="Arial"/>
          <w:b/>
          <w:sz w:val="16"/>
        </w:rPr>
      </w:pPr>
    </w:p>
    <w:p w:rsidR="0094395C" w:rsidRDefault="0094395C">
      <w:pPr>
        <w:pStyle w:val="Plattetekst"/>
        <w:spacing w:before="2"/>
        <w:rPr>
          <w:rFonts w:ascii="Arial"/>
          <w:b/>
          <w:sz w:val="16"/>
        </w:rPr>
      </w:pPr>
      <w:r>
        <w:rPr>
          <w:rFonts w:ascii="Arial"/>
          <w:b/>
          <w:noProof/>
          <w:sz w:val="16"/>
        </w:rPr>
        <w:drawing>
          <wp:inline distT="0" distB="0" distL="0" distR="0">
            <wp:extent cx="3165475" cy="2907030"/>
            <wp:effectExtent l="0" t="0" r="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5475" cy="2907030"/>
                    </a:xfrm>
                    <a:prstGeom prst="rect">
                      <a:avLst/>
                    </a:prstGeom>
                  </pic:spPr>
                </pic:pic>
              </a:graphicData>
            </a:graphic>
          </wp:inline>
        </w:drawing>
      </w:r>
    </w:p>
    <w:p w:rsidR="0094395C" w:rsidRDefault="0094395C">
      <w:pPr>
        <w:pStyle w:val="Plattetekst"/>
        <w:spacing w:before="2"/>
        <w:rPr>
          <w:rFonts w:ascii="Arial"/>
          <w:b/>
          <w:sz w:val="16"/>
        </w:rPr>
      </w:pPr>
    </w:p>
    <w:p w:rsidR="0094395C" w:rsidRPr="00DA1950" w:rsidRDefault="00DA1950" w:rsidP="0094395C">
      <w:pPr>
        <w:rPr>
          <w:rFonts w:ascii="Cambria" w:hAnsi="Cambria"/>
        </w:rPr>
      </w:pPr>
      <w:r w:rsidRPr="00DA1950">
        <w:rPr>
          <w:rFonts w:ascii="Cambria" w:hAnsi="Cambria"/>
        </w:rPr>
        <w:t xml:space="preserve">Figure 1. </w:t>
      </w:r>
      <w:r w:rsidR="0094395C" w:rsidRPr="00DA1950">
        <w:rPr>
          <w:rFonts w:ascii="Cambria" w:hAnsi="Cambria"/>
        </w:rPr>
        <w:t>Schematic summary illustration showing the pathophysiological effects and reactions of RBC hemolysis and eryptosis.</w:t>
      </w:r>
    </w:p>
    <w:p w:rsidR="0094395C" w:rsidRDefault="0094395C">
      <w:pPr>
        <w:pStyle w:val="Platteteks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DA1950" w:rsidRPr="00DA1950" w:rsidRDefault="00DA1950" w:rsidP="00DA1950">
      <w:pPr>
        <w:rPr>
          <w:rFonts w:asciiTheme="majorHAnsi" w:eastAsiaTheme="minorHAnsi" w:hAnsiTheme="majorHAnsi"/>
          <w:sz w:val="20"/>
          <w:szCs w:val="20"/>
        </w:rPr>
      </w:pPr>
      <w:r w:rsidRPr="00DA1950">
        <w:rPr>
          <w:sz w:val="20"/>
          <w:szCs w:val="20"/>
          <w:shd w:val="clear" w:color="auto" w:fill="FFFFFF"/>
          <w:lang w:val="nl-NL"/>
        </w:rPr>
        <w:t>1</w:t>
      </w:r>
      <w:r w:rsidRPr="00DA1950">
        <w:rPr>
          <w:sz w:val="20"/>
          <w:szCs w:val="20"/>
          <w:shd w:val="clear" w:color="auto" w:fill="FFFFFF"/>
          <w:lang w:val="nl-NL"/>
        </w:rPr>
        <w:t>.</w:t>
      </w:r>
      <w:r w:rsidRPr="00DA1950">
        <w:rPr>
          <w:sz w:val="20"/>
          <w:szCs w:val="20"/>
          <w:lang w:val="nl-NL"/>
        </w:rPr>
        <w:t xml:space="preserve"> </w:t>
      </w:r>
      <w:r w:rsidRPr="00DA1950">
        <w:rPr>
          <w:rFonts w:asciiTheme="majorHAnsi" w:hAnsiTheme="majorHAnsi"/>
          <w:sz w:val="20"/>
          <w:szCs w:val="20"/>
          <w:lang w:val="nl-NL"/>
        </w:rPr>
        <w:t xml:space="preserve">Everts PA, Knape JT, Weibrich G, Schönberger JP, Hoffmann JJ, et al. </w:t>
      </w:r>
      <w:r w:rsidRPr="00DA1950">
        <w:rPr>
          <w:rFonts w:asciiTheme="majorHAnsi" w:hAnsiTheme="majorHAnsi"/>
          <w:sz w:val="20"/>
          <w:szCs w:val="20"/>
        </w:rPr>
        <w:t>Platelet rich plasma and platelet gel: a review. J. Extra Corpor. Technol. 2006;38:174-87.</w:t>
      </w:r>
    </w:p>
    <w:p w:rsidR="00DA1950" w:rsidRPr="00DA1950" w:rsidRDefault="00DA1950" w:rsidP="00DA1950">
      <w:pPr>
        <w:rPr>
          <w:rFonts w:asciiTheme="majorHAnsi" w:hAnsiTheme="majorHAnsi"/>
          <w:sz w:val="20"/>
          <w:szCs w:val="20"/>
          <w:shd w:val="clear" w:color="auto" w:fill="FFFFFF"/>
        </w:rPr>
      </w:pPr>
      <w:r>
        <w:rPr>
          <w:rFonts w:asciiTheme="majorHAnsi" w:hAnsiTheme="majorHAnsi"/>
          <w:sz w:val="20"/>
          <w:szCs w:val="20"/>
          <w:shd w:val="clear" w:color="auto" w:fill="FFFFFF"/>
        </w:rPr>
        <w:t xml:space="preserve">2. </w:t>
      </w:r>
      <w:r w:rsidRPr="00DA1950">
        <w:rPr>
          <w:rFonts w:asciiTheme="majorHAnsi" w:hAnsiTheme="majorHAnsi"/>
          <w:sz w:val="20"/>
          <w:szCs w:val="20"/>
          <w:shd w:val="clear" w:color="auto" w:fill="FFFFFF"/>
        </w:rPr>
        <w:t>Oh M, Nor J. The perivascular niche and self-renewal of stem cells. Front in Physiol. 2015;https://</w:t>
      </w:r>
      <w:r>
        <w:rPr>
          <w:rFonts w:asciiTheme="majorHAnsi" w:hAnsiTheme="majorHAnsi"/>
          <w:sz w:val="20"/>
          <w:szCs w:val="20"/>
          <w:shd w:val="clear" w:color="auto" w:fill="FFFFFF"/>
        </w:rPr>
        <w:t>doi:</w:t>
      </w:r>
      <w:r w:rsidRPr="00DA1950">
        <w:rPr>
          <w:rFonts w:asciiTheme="majorHAnsi" w:hAnsiTheme="majorHAnsi"/>
          <w:sz w:val="20"/>
          <w:szCs w:val="20"/>
          <w:shd w:val="clear" w:color="auto" w:fill="FFFFFF"/>
        </w:rPr>
        <w:t>0.3389/fphys.2015.00367</w:t>
      </w:r>
      <w:r>
        <w:rPr>
          <w:rFonts w:asciiTheme="majorHAnsi" w:hAnsiTheme="majorHAnsi"/>
          <w:sz w:val="20"/>
          <w:szCs w:val="20"/>
          <w:shd w:val="clear" w:color="auto" w:fill="FFFFFF"/>
        </w:rPr>
        <w:t>.</w:t>
      </w:r>
    </w:p>
    <w:p w:rsidR="00DA1950" w:rsidRPr="00DA1950" w:rsidRDefault="00DA1950" w:rsidP="00DA1950">
      <w:pPr>
        <w:rPr>
          <w:rFonts w:asciiTheme="majorHAnsi" w:hAnsiTheme="majorHAnsi"/>
          <w:sz w:val="20"/>
          <w:szCs w:val="20"/>
        </w:rPr>
      </w:pPr>
      <w:r>
        <w:rPr>
          <w:rFonts w:asciiTheme="majorHAnsi" w:hAnsiTheme="majorHAnsi"/>
          <w:sz w:val="20"/>
          <w:szCs w:val="20"/>
        </w:rPr>
        <w:t>3</w:t>
      </w:r>
      <w:r w:rsidRPr="00DA1950">
        <w:rPr>
          <w:rFonts w:asciiTheme="majorHAnsi" w:hAnsiTheme="majorHAnsi"/>
          <w:sz w:val="20"/>
          <w:szCs w:val="20"/>
        </w:rPr>
        <w:t xml:space="preserve">. Schaer D, Buehler P,. Alayash A, et al. Hemolysis and free hemoglobin revisited: exploring hemoglobin and hemin scavengers as a novel class of therapeutic proteins. Blood 2013;121:1276-84. </w:t>
      </w:r>
    </w:p>
    <w:p w:rsidR="00DA1950" w:rsidRPr="00DA1950" w:rsidRDefault="00DA1950" w:rsidP="00DA1950">
      <w:pPr>
        <w:rPr>
          <w:rFonts w:asciiTheme="majorHAnsi" w:hAnsiTheme="majorHAnsi"/>
          <w:sz w:val="20"/>
          <w:szCs w:val="20"/>
        </w:rPr>
      </w:pPr>
      <w:r>
        <w:rPr>
          <w:rFonts w:asciiTheme="majorHAnsi" w:eastAsiaTheme="minorHAnsi" w:hAnsiTheme="majorHAnsi"/>
          <w:sz w:val="20"/>
          <w:szCs w:val="20"/>
        </w:rPr>
        <w:t xml:space="preserve">4. </w:t>
      </w:r>
      <w:r w:rsidRPr="00DA1950">
        <w:rPr>
          <w:rFonts w:asciiTheme="majorHAnsi" w:eastAsiaTheme="minorHAnsi" w:hAnsiTheme="majorHAnsi"/>
          <w:sz w:val="20"/>
          <w:szCs w:val="20"/>
        </w:rPr>
        <w:t>Repsold L, Joubert A. Eryptosis: An erythrocyte’s suicidal type of cell death. BioMed Res Internat. 2018;https://</w:t>
      </w:r>
      <w:r w:rsidRPr="00DA1950">
        <w:rPr>
          <w:rFonts w:asciiTheme="majorHAnsi" w:hAnsiTheme="majorHAnsi"/>
          <w:sz w:val="20"/>
          <w:szCs w:val="20"/>
          <w:shd w:val="clear" w:color="auto" w:fill="FFFFFF"/>
        </w:rPr>
        <w:t>doi.org/10.1155/2018/9405617</w:t>
      </w:r>
      <w:r w:rsidRPr="00DA1950">
        <w:rPr>
          <w:rStyle w:val="apple-converted-space"/>
          <w:rFonts w:asciiTheme="majorHAnsi" w:hAnsiTheme="majorHAnsi"/>
          <w:color w:val="000000" w:themeColor="text1"/>
          <w:sz w:val="20"/>
          <w:szCs w:val="20"/>
          <w:shd w:val="clear" w:color="auto" w:fill="FFFFFF"/>
        </w:rPr>
        <w:t>.</w:t>
      </w:r>
    </w:p>
    <w:p w:rsidR="00DA1950" w:rsidRDefault="00DA1950" w:rsidP="00DA1950">
      <w:pPr>
        <w:rPr>
          <w:rFonts w:asciiTheme="majorHAnsi" w:eastAsiaTheme="minorHAnsi" w:hAnsiTheme="majorHAnsi"/>
          <w:sz w:val="20"/>
          <w:szCs w:val="20"/>
        </w:rPr>
      </w:pPr>
      <w:r>
        <w:rPr>
          <w:rFonts w:asciiTheme="majorHAnsi" w:eastAsiaTheme="minorHAnsi" w:hAnsiTheme="majorHAnsi"/>
          <w:sz w:val="20"/>
          <w:szCs w:val="20"/>
        </w:rPr>
        <w:lastRenderedPageBreak/>
        <w:t xml:space="preserve">5. </w:t>
      </w:r>
      <w:r w:rsidRPr="00DA1950">
        <w:rPr>
          <w:rFonts w:asciiTheme="majorHAnsi" w:eastAsiaTheme="minorHAnsi" w:hAnsiTheme="majorHAnsi"/>
          <w:sz w:val="20"/>
          <w:szCs w:val="20"/>
        </w:rPr>
        <w:t xml:space="preserve">Karsten E, Hill C, Herbert B. Red blood cells: The primary reservoir of macrophage migration inhibitory factor in </w:t>
      </w:r>
    </w:p>
    <w:p w:rsidR="00DA1950" w:rsidRDefault="00DA1950" w:rsidP="00DA1950">
      <w:pPr>
        <w:rPr>
          <w:rFonts w:asciiTheme="majorHAnsi" w:eastAsiaTheme="minorHAnsi" w:hAnsiTheme="majorHAnsi"/>
          <w:sz w:val="20"/>
          <w:szCs w:val="20"/>
        </w:rPr>
      </w:pPr>
    </w:p>
    <w:p w:rsidR="00DA1950" w:rsidRPr="00DA1950" w:rsidRDefault="00DA1950" w:rsidP="00DA1950">
      <w:pPr>
        <w:rPr>
          <w:rFonts w:asciiTheme="majorHAnsi" w:eastAsiaTheme="minorHAnsi" w:hAnsiTheme="majorHAnsi"/>
          <w:sz w:val="20"/>
          <w:szCs w:val="20"/>
        </w:rPr>
      </w:pPr>
      <w:r w:rsidRPr="00DA1950">
        <w:rPr>
          <w:rFonts w:asciiTheme="majorHAnsi" w:eastAsiaTheme="minorHAnsi" w:hAnsiTheme="majorHAnsi"/>
          <w:sz w:val="20"/>
          <w:szCs w:val="20"/>
        </w:rPr>
        <w:t>whole blood. Cytokine. 2018;102:34-40.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Plattetekst"/>
        <w:rPr>
          <w:rFonts w:ascii="Calibri"/>
          <w:sz w:val="20"/>
        </w:rPr>
      </w:pPr>
    </w:p>
    <w:p w:rsidR="00AE3E37" w:rsidRDefault="00292ED9">
      <w:pPr>
        <w:pStyle w:val="Platteteks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40A75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DA1950" w:rsidRDefault="008756E6" w:rsidP="00404E5B">
      <w:pPr>
        <w:spacing w:before="92"/>
        <w:ind w:right="4234"/>
        <w:rPr>
          <w:noProof/>
        </w:rPr>
      </w:pPr>
      <w:r>
        <w:rPr>
          <w:noProof/>
        </w:rPr>
        <w:t xml:space="preserve">              </w:t>
      </w:r>
    </w:p>
    <w:p w:rsidR="00DA1950" w:rsidRDefault="00DA1950" w:rsidP="00404E5B">
      <w:pPr>
        <w:spacing w:before="92"/>
        <w:ind w:right="4234"/>
        <w:rPr>
          <w:noProof/>
        </w:rPr>
      </w:pPr>
      <w:r>
        <w:rPr>
          <w:noProof/>
        </w:rPr>
        <w:drawing>
          <wp:inline distT="0" distB="0" distL="0" distR="0">
            <wp:extent cx="749113" cy="892629"/>
            <wp:effectExtent l="0" t="0" r="63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rmafbeelding 2019-02-20 om 11.07.35 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3884" cy="910230"/>
                    </a:xfrm>
                    <a:prstGeom prst="rect">
                      <a:avLst/>
                    </a:prstGeom>
                  </pic:spPr>
                </pic:pic>
              </a:graphicData>
            </a:graphic>
          </wp:inline>
        </w:drawing>
      </w: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rsidR="00DA1950" w:rsidRPr="0062547A" w:rsidRDefault="00DA1950" w:rsidP="00DA1950">
      <w:pPr>
        <w:rPr>
          <w:rFonts w:ascii="Calibri" w:hAnsi="Calibri"/>
          <w:sz w:val="24"/>
          <w:szCs w:val="24"/>
        </w:rPr>
      </w:pPr>
      <w:r w:rsidRPr="0062547A">
        <w:rPr>
          <w:rFonts w:ascii="Cambria" w:hAnsi="Cambria"/>
          <w:sz w:val="24"/>
          <w:szCs w:val="24"/>
        </w:rPr>
        <w:t xml:space="preserve">Dr. Everts has been pioneering in the science and clinical applications of platelet-rich plasma (PRP) technology since 1984 and has been leading research teams in regenerative medicine in using biological therapies. Dr. Everts received his PhD in Medicine from the University of Utrecht in the Netherlands in 2007 on the subject of PRP. At present, he has published and authored more than 50 articles, or book chapters. He has been board member, and chairman of several health care organizations and was </w:t>
      </w:r>
      <w:r w:rsidRPr="0062547A">
        <w:rPr>
          <w:rFonts w:ascii="Cambria" w:hAnsi="Cambria" w:cs="Arial"/>
          <w:color w:val="000000"/>
          <w:sz w:val="24"/>
          <w:szCs w:val="24"/>
        </w:rPr>
        <w:t>member of the sport medicine steering group at the International Olympic Committee.</w:t>
      </w:r>
      <w:r>
        <w:rPr>
          <w:rFonts w:ascii="Cambria" w:hAnsi="Cambria" w:cs="Arial"/>
          <w:color w:val="000000"/>
        </w:rPr>
        <w:t xml:space="preserve"> </w:t>
      </w:r>
      <w:r w:rsidRPr="0062547A">
        <w:rPr>
          <w:rFonts w:ascii="Cambria" w:hAnsi="Cambria"/>
          <w:sz w:val="24"/>
          <w:szCs w:val="24"/>
        </w:rPr>
        <w:t>At present he is the Executive Director of Gulf Coast Biologics, a scientific-educational-research-training institute, and Chief Scientific Officer of EmCyte Corporation</w:t>
      </w:r>
      <w:r w:rsidRPr="0062547A">
        <w:rPr>
          <w:rFonts w:ascii="Calibri" w:hAnsi="Calibri"/>
          <w:sz w:val="24"/>
          <w:szCs w:val="24"/>
        </w:rPr>
        <w:t>.</w:t>
      </w:r>
    </w:p>
    <w:p w:rsidR="00AE3E37" w:rsidRDefault="00A9710C">
      <w:pPr>
        <w:spacing w:before="62"/>
        <w:ind w:left="4217" w:right="4235"/>
        <w:jc w:val="center"/>
        <w:rPr>
          <w:rFonts w:ascii="Arial"/>
          <w:sz w:val="14"/>
        </w:rPr>
      </w:pPr>
      <w:r>
        <w:rPr>
          <w:rFonts w:ascii="Arial"/>
          <w:sz w:val="14"/>
        </w:rPr>
        <w:t>Email:</w:t>
      </w:r>
      <w:r w:rsidR="00DA1950">
        <w:rPr>
          <w:rFonts w:ascii="Arial"/>
          <w:sz w:val="14"/>
        </w:rPr>
        <w:t xml:space="preserve"> peter@gulfcoastbiologics.com</w:t>
      </w:r>
      <w:r>
        <w:rPr>
          <w:rFonts w:ascii="Arial"/>
          <w:sz w:val="14"/>
        </w:rPr>
        <w:t xml:space="preserve"> </w:t>
      </w:r>
    </w:p>
    <w:p w:rsidR="00AE3E37" w:rsidRDefault="00292ED9">
      <w:pPr>
        <w:pStyle w:val="Platteteks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DC2B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Plattetekst"/>
        <w:rPr>
          <w:rFonts w:ascii="Arial"/>
          <w:sz w:val="20"/>
        </w:rPr>
      </w:pPr>
    </w:p>
    <w:p w:rsidR="00AE3E37" w:rsidRDefault="00AE3E37">
      <w:pPr>
        <w:pStyle w:val="Plattetekst"/>
        <w:rPr>
          <w:rFonts w:ascii="Arial"/>
          <w:sz w:val="20"/>
        </w:rPr>
      </w:pPr>
    </w:p>
    <w:p w:rsidR="00AE3E37" w:rsidRDefault="00AE3E37">
      <w:pPr>
        <w:pStyle w:val="Platteteks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Plattetekst"/>
        <w:spacing w:before="3"/>
        <w:rPr>
          <w:rFonts w:ascii="Minion Pro"/>
          <w:sz w:val="26"/>
        </w:rPr>
      </w:pPr>
    </w:p>
    <w:p w:rsidR="00DA1950" w:rsidRDefault="00DA1950">
      <w:pPr>
        <w:pStyle w:val="Plattetekst"/>
        <w:spacing w:before="3"/>
        <w:rPr>
          <w:rFonts w:ascii="Minion Pro"/>
          <w:sz w:val="26"/>
        </w:rPr>
      </w:pPr>
      <w:r>
        <w:rPr>
          <w:rFonts w:ascii="Minion Pro"/>
          <w:sz w:val="26"/>
        </w:rPr>
        <w:t>As agreed, I will present on June 24</w:t>
      </w:r>
      <w:r w:rsidRPr="00DA1950">
        <w:rPr>
          <w:rFonts w:ascii="Minion Pro"/>
          <w:sz w:val="26"/>
          <w:vertAlign w:val="superscript"/>
        </w:rPr>
        <w:t>th</w:t>
      </w:r>
      <w:r>
        <w:rPr>
          <w:rFonts w:ascii="Minion Pro"/>
          <w:sz w:val="26"/>
        </w:rPr>
        <w:t>, due to other commitments. Email Shean Smith.</w:t>
      </w:r>
      <w:bookmarkStart w:id="0" w:name="_GoBack"/>
      <w:bookmarkEnd w:id="0"/>
    </w:p>
    <w:sectPr w:rsidR="00DA195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9F4" w:rsidRDefault="001719F4">
      <w:r>
        <w:separator/>
      </w:r>
    </w:p>
  </w:endnote>
  <w:endnote w:type="continuationSeparator" w:id="0">
    <w:p w:rsidR="001719F4" w:rsidRDefault="00171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Platteteks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9F4" w:rsidRDefault="001719F4">
      <w:r>
        <w:separator/>
      </w:r>
    </w:p>
  </w:footnote>
  <w:footnote w:type="continuationSeparator" w:id="0">
    <w:p w:rsidR="001719F4" w:rsidRDefault="00171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719F4"/>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4395C"/>
    <w:rsid w:val="009B2D44"/>
    <w:rsid w:val="00A07E82"/>
    <w:rsid w:val="00A9710C"/>
    <w:rsid w:val="00AE3E37"/>
    <w:rsid w:val="00B21A57"/>
    <w:rsid w:val="00C33602"/>
    <w:rsid w:val="00CD6F55"/>
    <w:rsid w:val="00DA195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92C65"/>
  <w15:docId w15:val="{4B5DC463-697D-E44C-96E1-1945E28F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sid w:val="00CD6F55"/>
    <w:rPr>
      <w:rFonts w:ascii="Tw Cen MT" w:eastAsia="Tw Cen MT" w:hAnsi="Tw Cen MT" w:cs="Tw Cen MT"/>
    </w:rPr>
  </w:style>
  <w:style w:type="paragraph" w:styleId="Kop1">
    <w:name w:val="heading 1"/>
    <w:basedOn w:val="Standa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Kop2">
    <w:name w:val="heading 2"/>
    <w:basedOn w:val="Standaard"/>
    <w:uiPriority w:val="1"/>
    <w:qFormat/>
    <w:rsid w:val="00CD6F55"/>
    <w:pPr>
      <w:ind w:left="100"/>
      <w:outlineLvl w:val="1"/>
    </w:pPr>
    <w:rPr>
      <w:rFonts w:ascii="Minion Pro" w:eastAsia="Minion Pro" w:hAnsi="Minion Pro" w:cs="Minion Pro"/>
      <w:sz w:val="24"/>
      <w:szCs w:val="24"/>
    </w:rPr>
  </w:style>
  <w:style w:type="paragraph" w:styleId="Kop3">
    <w:name w:val="heading 3"/>
    <w:basedOn w:val="Standaard"/>
    <w:uiPriority w:val="1"/>
    <w:qFormat/>
    <w:rsid w:val="00CD6F55"/>
    <w:pPr>
      <w:ind w:left="100"/>
      <w:outlineLvl w:val="2"/>
    </w:pPr>
    <w:rPr>
      <w:rFonts w:ascii="Arial" w:eastAsia="Arial" w:hAnsi="Arial" w:cs="Arial"/>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CD6F55"/>
    <w:rPr>
      <w:sz w:val="18"/>
      <w:szCs w:val="18"/>
    </w:rPr>
  </w:style>
  <w:style w:type="paragraph" w:styleId="Lijstalinea">
    <w:name w:val="List Paragraph"/>
    <w:basedOn w:val="Standa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ard"/>
    <w:uiPriority w:val="1"/>
    <w:qFormat/>
    <w:rsid w:val="00CD6F55"/>
  </w:style>
  <w:style w:type="paragraph" w:styleId="Koptekst">
    <w:name w:val="header"/>
    <w:basedOn w:val="Standaard"/>
    <w:link w:val="KoptekstChar"/>
    <w:uiPriority w:val="99"/>
    <w:unhideWhenUsed/>
    <w:rsid w:val="005B3A56"/>
    <w:pPr>
      <w:tabs>
        <w:tab w:val="center" w:pos="4513"/>
        <w:tab w:val="right" w:pos="9026"/>
      </w:tabs>
    </w:pPr>
  </w:style>
  <w:style w:type="character" w:customStyle="1" w:styleId="KoptekstChar">
    <w:name w:val="Koptekst Char"/>
    <w:basedOn w:val="Standaardalinea-lettertype"/>
    <w:link w:val="Koptekst"/>
    <w:uiPriority w:val="99"/>
    <w:rsid w:val="005B3A56"/>
    <w:rPr>
      <w:rFonts w:ascii="Tw Cen MT" w:eastAsia="Tw Cen MT" w:hAnsi="Tw Cen MT" w:cs="Tw Cen MT"/>
    </w:rPr>
  </w:style>
  <w:style w:type="paragraph" w:styleId="Voettekst">
    <w:name w:val="footer"/>
    <w:basedOn w:val="Standaard"/>
    <w:link w:val="VoettekstChar"/>
    <w:uiPriority w:val="99"/>
    <w:unhideWhenUsed/>
    <w:rsid w:val="005B3A56"/>
    <w:pPr>
      <w:tabs>
        <w:tab w:val="center" w:pos="4513"/>
        <w:tab w:val="right" w:pos="9026"/>
      </w:tabs>
    </w:pPr>
  </w:style>
  <w:style w:type="character" w:customStyle="1" w:styleId="VoettekstChar">
    <w:name w:val="Voettekst Char"/>
    <w:basedOn w:val="Standaardalinea-lettertype"/>
    <w:link w:val="Voettekst"/>
    <w:uiPriority w:val="99"/>
    <w:rsid w:val="005B3A56"/>
    <w:rPr>
      <w:rFonts w:ascii="Tw Cen MT" w:eastAsia="Tw Cen MT" w:hAnsi="Tw Cen MT" w:cs="Tw Cen MT"/>
    </w:rPr>
  </w:style>
  <w:style w:type="paragraph" w:styleId="Ballontekst">
    <w:name w:val="Balloon Text"/>
    <w:basedOn w:val="Standaard"/>
    <w:link w:val="BallontekstChar"/>
    <w:uiPriority w:val="99"/>
    <w:semiHidden/>
    <w:unhideWhenUsed/>
    <w:rsid w:val="004F3523"/>
    <w:rPr>
      <w:rFonts w:ascii="Tahoma" w:hAnsi="Tahoma" w:cs="Tahoma"/>
      <w:sz w:val="16"/>
      <w:szCs w:val="16"/>
    </w:rPr>
  </w:style>
  <w:style w:type="character" w:customStyle="1" w:styleId="BallontekstChar">
    <w:name w:val="Ballontekst Char"/>
    <w:basedOn w:val="Standaardalinea-lettertype"/>
    <w:link w:val="Ballontekst"/>
    <w:uiPriority w:val="99"/>
    <w:semiHidden/>
    <w:rsid w:val="004F3523"/>
    <w:rPr>
      <w:rFonts w:ascii="Tahoma" w:eastAsia="Tw Cen MT" w:hAnsi="Tahoma" w:cs="Tahoma"/>
      <w:sz w:val="16"/>
      <w:szCs w:val="16"/>
    </w:rPr>
  </w:style>
  <w:style w:type="character" w:styleId="Hyperlink">
    <w:name w:val="Hyperlink"/>
    <w:basedOn w:val="Standaardalinea-lettertype"/>
    <w:uiPriority w:val="99"/>
    <w:unhideWhenUsed/>
    <w:rsid w:val="008756E6"/>
    <w:rPr>
      <w:color w:val="0000FF" w:themeColor="hyperlink"/>
      <w:u w:val="single"/>
    </w:rPr>
  </w:style>
  <w:style w:type="character" w:customStyle="1" w:styleId="PlattetekstChar">
    <w:name w:val="Platte tekst Char"/>
    <w:basedOn w:val="Standaardalinea-lettertype"/>
    <w:link w:val="Plattetekst"/>
    <w:uiPriority w:val="1"/>
    <w:rsid w:val="005973B9"/>
    <w:rPr>
      <w:rFonts w:ascii="Tw Cen MT" w:eastAsia="Tw Cen MT" w:hAnsi="Tw Cen MT" w:cs="Tw Cen MT"/>
      <w:sz w:val="18"/>
      <w:szCs w:val="18"/>
    </w:rPr>
  </w:style>
  <w:style w:type="character" w:customStyle="1" w:styleId="apple-converted-space">
    <w:name w:val="apple-converted-space"/>
    <w:basedOn w:val="Standaardalinea-lettertype"/>
    <w:rsid w:val="00DA1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709</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Office-gebruiker</cp:lastModifiedBy>
  <cp:revision>3</cp:revision>
  <dcterms:created xsi:type="dcterms:W3CDTF">2019-02-20T16:21:00Z</dcterms:created>
  <dcterms:modified xsi:type="dcterms:W3CDTF">2019-02-20T16:31:00Z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