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9EF" w:rsidRPr="004A7FE2" w:rsidRDefault="007B79EF" w:rsidP="007B79EF">
      <w:pPr>
        <w:autoSpaceDE w:val="0"/>
        <w:autoSpaceDN w:val="0"/>
        <w:adjustRightInd w:val="0"/>
        <w:spacing w:line="300" w:lineRule="exact"/>
        <w:ind w:right="-533"/>
        <w:jc w:val="right"/>
        <w:outlineLvl w:val="0"/>
        <w:rPr>
          <w:color w:val="181512"/>
          <w:sz w:val="28"/>
          <w:szCs w:val="28"/>
          <w:lang w:eastAsia="zh-CN"/>
        </w:rPr>
      </w:pPr>
      <w:r w:rsidRPr="00915694">
        <w:rPr>
          <w:rFonts w:eastAsia="Times New Roman"/>
          <w:b/>
          <w:color w:val="181512"/>
          <w:sz w:val="28"/>
          <w:szCs w:val="28"/>
        </w:rPr>
        <w:t xml:space="preserve">Title: </w:t>
      </w:r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I</w:t>
      </w:r>
      <w:r>
        <w:rPr>
          <w:rFonts w:eastAsia="Times New Roman"/>
          <w:b/>
          <w:color w:val="181512"/>
          <w:sz w:val="28"/>
          <w:szCs w:val="28"/>
        </w:rPr>
        <w:t xml:space="preserve">nduced </w:t>
      </w:r>
      <w:proofErr w:type="spellStart"/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P</w:t>
      </w:r>
      <w:r>
        <w:rPr>
          <w:rFonts w:eastAsia="Times New Roman"/>
          <w:b/>
          <w:color w:val="181512"/>
          <w:sz w:val="28"/>
          <w:szCs w:val="28"/>
        </w:rPr>
        <w:t>luripotent</w:t>
      </w:r>
      <w:proofErr w:type="spellEnd"/>
      <w:r>
        <w:rPr>
          <w:rFonts w:eastAsia="Times New Roman"/>
          <w:b/>
          <w:color w:val="181512"/>
          <w:sz w:val="28"/>
          <w:szCs w:val="28"/>
        </w:rPr>
        <w:t xml:space="preserve"> </w:t>
      </w:r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S</w:t>
      </w:r>
      <w:r>
        <w:rPr>
          <w:rFonts w:eastAsia="Times New Roman"/>
          <w:b/>
          <w:color w:val="181512"/>
          <w:sz w:val="28"/>
          <w:szCs w:val="28"/>
        </w:rPr>
        <w:t xml:space="preserve">tem </w:t>
      </w:r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C</w:t>
      </w:r>
      <w:r>
        <w:rPr>
          <w:rFonts w:eastAsia="Times New Roman"/>
          <w:b/>
          <w:color w:val="181512"/>
          <w:sz w:val="28"/>
          <w:szCs w:val="28"/>
        </w:rPr>
        <w:t xml:space="preserve">ell Vs </w:t>
      </w:r>
      <w:proofErr w:type="spellStart"/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M</w:t>
      </w:r>
      <w:r>
        <w:rPr>
          <w:rFonts w:eastAsia="Times New Roman"/>
          <w:b/>
          <w:color w:val="181512"/>
          <w:sz w:val="28"/>
          <w:szCs w:val="28"/>
        </w:rPr>
        <w:t>esenchymal</w:t>
      </w:r>
      <w:proofErr w:type="spellEnd"/>
      <w:r>
        <w:rPr>
          <w:rFonts w:eastAsia="Times New Roman"/>
          <w:b/>
          <w:color w:val="181512"/>
          <w:sz w:val="28"/>
          <w:szCs w:val="28"/>
        </w:rPr>
        <w:t xml:space="preserve"> </w:t>
      </w:r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S</w:t>
      </w:r>
      <w:r>
        <w:rPr>
          <w:rFonts w:eastAsia="Times New Roman"/>
          <w:b/>
          <w:color w:val="181512"/>
          <w:sz w:val="28"/>
          <w:szCs w:val="28"/>
        </w:rPr>
        <w:t xml:space="preserve">tem </w:t>
      </w:r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C</w:t>
      </w:r>
      <w:r>
        <w:rPr>
          <w:rFonts w:eastAsia="Times New Roman"/>
          <w:b/>
          <w:color w:val="181512"/>
          <w:sz w:val="28"/>
          <w:szCs w:val="28"/>
        </w:rPr>
        <w:t xml:space="preserve">ell in </w:t>
      </w:r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R</w:t>
      </w:r>
      <w:r>
        <w:rPr>
          <w:rFonts w:eastAsia="Times New Roman"/>
          <w:b/>
          <w:color w:val="181512"/>
          <w:sz w:val="28"/>
          <w:szCs w:val="28"/>
        </w:rPr>
        <w:t xml:space="preserve">etinitis </w:t>
      </w:r>
      <w:proofErr w:type="spellStart"/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P</w:t>
      </w:r>
      <w:r>
        <w:rPr>
          <w:rFonts w:eastAsia="Times New Roman"/>
          <w:b/>
          <w:color w:val="181512"/>
          <w:sz w:val="28"/>
          <w:szCs w:val="28"/>
        </w:rPr>
        <w:t>igmentosa</w:t>
      </w:r>
      <w:proofErr w:type="spellEnd"/>
      <w:r>
        <w:rPr>
          <w:rFonts w:eastAsia="Times New Roman"/>
          <w:b/>
          <w:color w:val="181512"/>
          <w:sz w:val="28"/>
          <w:szCs w:val="28"/>
        </w:rPr>
        <w:t xml:space="preserve"> </w:t>
      </w:r>
      <w:r w:rsidRPr="00D242B5">
        <w:rPr>
          <w:rFonts w:eastAsia="Times New Roman"/>
          <w:b/>
          <w:color w:val="181512"/>
          <w:sz w:val="28"/>
          <w:szCs w:val="28"/>
          <w:highlight w:val="yellow"/>
        </w:rPr>
        <w:t>P</w:t>
      </w:r>
      <w:r>
        <w:rPr>
          <w:rFonts w:eastAsia="Times New Roman"/>
          <w:b/>
          <w:color w:val="181512"/>
          <w:sz w:val="28"/>
          <w:szCs w:val="28"/>
        </w:rPr>
        <w:t>atients</w:t>
      </w:r>
      <w:r>
        <w:rPr>
          <w:b/>
          <w:color w:val="181512"/>
          <w:sz w:val="28"/>
          <w:szCs w:val="28"/>
          <w:lang w:eastAsia="zh-CN"/>
        </w:rPr>
        <w:t xml:space="preserve"> </w:t>
      </w:r>
    </w:p>
    <w:p w:rsidR="007B79EF" w:rsidRPr="00EC47E2" w:rsidRDefault="007B79EF" w:rsidP="007B79EF">
      <w:pPr>
        <w:autoSpaceDE w:val="0"/>
        <w:autoSpaceDN w:val="0"/>
        <w:adjustRightInd w:val="0"/>
        <w:spacing w:line="300" w:lineRule="exact"/>
        <w:ind w:right="-533"/>
        <w:jc w:val="right"/>
        <w:rPr>
          <w:rFonts w:eastAsia="Times New Roman"/>
          <w:color w:val="181512"/>
          <w:sz w:val="20"/>
          <w:lang w:bidi="ar-EG"/>
        </w:rPr>
      </w:pPr>
    </w:p>
    <w:p w:rsidR="007B79EF" w:rsidRPr="005F33A5" w:rsidRDefault="007B79EF" w:rsidP="007B79EF">
      <w:pPr>
        <w:autoSpaceDE w:val="0"/>
        <w:autoSpaceDN w:val="0"/>
        <w:adjustRightInd w:val="0"/>
        <w:spacing w:line="300" w:lineRule="exact"/>
        <w:ind w:right="-533"/>
        <w:jc w:val="right"/>
        <w:outlineLvl w:val="0"/>
        <w:rPr>
          <w:rFonts w:eastAsia="Times New Roman"/>
          <w:color w:val="181512"/>
          <w:sz w:val="20"/>
          <w:lang w:val="es-ES"/>
        </w:rPr>
      </w:pPr>
      <w:r>
        <w:rPr>
          <w:rFonts w:hint="eastAsia"/>
          <w:b/>
          <w:i/>
          <w:color w:val="181512"/>
          <w:sz w:val="20"/>
          <w:lang w:val="es-ES" w:eastAsia="zh-CN"/>
        </w:rPr>
        <w:t>Dr.</w:t>
      </w:r>
      <w:r>
        <w:rPr>
          <w:rFonts w:eastAsia="Times New Roman"/>
          <w:b/>
          <w:i/>
          <w:color w:val="181512"/>
          <w:sz w:val="20"/>
          <w:lang w:val="es-ES"/>
        </w:rPr>
        <w:t xml:space="preserve"> </w:t>
      </w:r>
      <w:proofErr w:type="spellStart"/>
      <w:r>
        <w:rPr>
          <w:b/>
          <w:i/>
          <w:color w:val="181512"/>
          <w:sz w:val="20"/>
          <w:lang w:val="es-ES" w:eastAsia="zh-CN"/>
        </w:rPr>
        <w:t>Abdelhakim</w:t>
      </w:r>
      <w:proofErr w:type="spellEnd"/>
      <w:r>
        <w:rPr>
          <w:b/>
          <w:i/>
          <w:color w:val="181512"/>
          <w:sz w:val="20"/>
          <w:lang w:val="es-ES" w:eastAsia="zh-CN"/>
        </w:rPr>
        <w:t xml:space="preserve"> Mohamed </w:t>
      </w:r>
      <w:proofErr w:type="spellStart"/>
      <w:r>
        <w:rPr>
          <w:b/>
          <w:i/>
          <w:color w:val="181512"/>
          <w:sz w:val="20"/>
          <w:lang w:val="es-ES" w:eastAsia="zh-CN"/>
        </w:rPr>
        <w:t>Safwat</w:t>
      </w:r>
      <w:proofErr w:type="spellEnd"/>
      <w:r w:rsidRPr="005F33A5">
        <w:rPr>
          <w:rFonts w:eastAsia="Times New Roman"/>
          <w:color w:val="181512"/>
          <w:sz w:val="20"/>
          <w:lang w:val="es-ES"/>
        </w:rPr>
        <w:t xml:space="preserve"> </w:t>
      </w:r>
    </w:p>
    <w:p w:rsidR="007B79EF" w:rsidRPr="00D242B5" w:rsidRDefault="007B79EF" w:rsidP="007B79EF">
      <w:pPr>
        <w:autoSpaceDE w:val="0"/>
        <w:autoSpaceDN w:val="0"/>
        <w:adjustRightInd w:val="0"/>
        <w:spacing w:line="300" w:lineRule="exact"/>
        <w:ind w:right="-533"/>
        <w:jc w:val="right"/>
        <w:outlineLvl w:val="0"/>
        <w:rPr>
          <w:rFonts w:eastAsia="Times New Roman"/>
          <w:color w:val="181512"/>
          <w:sz w:val="20"/>
          <w:highlight w:val="yellow"/>
        </w:rPr>
      </w:pPr>
      <w:r w:rsidRPr="00D242B5">
        <w:rPr>
          <w:rFonts w:eastAsia="Times New Roman"/>
          <w:color w:val="181512"/>
          <w:sz w:val="20"/>
          <w:highlight w:val="yellow"/>
        </w:rPr>
        <w:t xml:space="preserve">Assistant Lecturer </w:t>
      </w:r>
    </w:p>
    <w:p w:rsidR="007B79EF" w:rsidRPr="00D242B5" w:rsidRDefault="007B79EF" w:rsidP="007B79EF">
      <w:pPr>
        <w:autoSpaceDE w:val="0"/>
        <w:autoSpaceDN w:val="0"/>
        <w:adjustRightInd w:val="0"/>
        <w:spacing w:line="300" w:lineRule="exact"/>
        <w:ind w:right="-533"/>
        <w:jc w:val="right"/>
        <w:outlineLvl w:val="0"/>
        <w:rPr>
          <w:color w:val="181512"/>
          <w:sz w:val="20"/>
          <w:highlight w:val="yellow"/>
          <w:lang w:eastAsia="zh-CN"/>
        </w:rPr>
      </w:pPr>
      <w:proofErr w:type="spellStart"/>
      <w:r w:rsidRPr="00D242B5">
        <w:rPr>
          <w:bCs/>
          <w:color w:val="181512"/>
          <w:sz w:val="20"/>
          <w:highlight w:val="yellow"/>
          <w:lang w:eastAsia="zh-CN"/>
        </w:rPr>
        <w:t>Alazhar</w:t>
      </w:r>
      <w:proofErr w:type="spellEnd"/>
      <w:r w:rsidRPr="00D242B5">
        <w:rPr>
          <w:rFonts w:hint="eastAsia"/>
          <w:bCs/>
          <w:color w:val="181512"/>
          <w:sz w:val="20"/>
          <w:highlight w:val="yellow"/>
          <w:lang w:eastAsia="zh-CN"/>
        </w:rPr>
        <w:t xml:space="preserve"> University</w:t>
      </w:r>
    </w:p>
    <w:p w:rsidR="007B79EF" w:rsidRPr="00575CAF" w:rsidRDefault="007B79EF" w:rsidP="007B79EF">
      <w:pPr>
        <w:autoSpaceDE w:val="0"/>
        <w:autoSpaceDN w:val="0"/>
        <w:adjustRightInd w:val="0"/>
        <w:spacing w:line="300" w:lineRule="exact"/>
        <w:ind w:right="-533"/>
        <w:jc w:val="right"/>
        <w:outlineLvl w:val="0"/>
        <w:rPr>
          <w:color w:val="181512"/>
          <w:sz w:val="20"/>
          <w:rtl/>
          <w:lang w:eastAsia="zh-CN" w:bidi="ar-EG"/>
        </w:rPr>
      </w:pPr>
      <w:r w:rsidRPr="00D242B5">
        <w:rPr>
          <w:color w:val="181512"/>
          <w:sz w:val="20"/>
          <w:highlight w:val="yellow"/>
          <w:lang w:eastAsia="zh-CN"/>
        </w:rPr>
        <w:t>Egypt</w:t>
      </w:r>
    </w:p>
    <w:p w:rsidR="007B79EF" w:rsidRDefault="007B79EF" w:rsidP="007B79EF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7B79EF" w:rsidRDefault="007B79EF" w:rsidP="007B79EF">
      <w:pPr>
        <w:autoSpaceDE w:val="0"/>
        <w:autoSpaceDN w:val="0"/>
        <w:bidi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D55148" w:rsidRDefault="007B79EF" w:rsidP="007B79EF">
      <w:pPr>
        <w:bidi w:val="0"/>
        <w:rPr>
          <w:lang w:bidi="ar-EG"/>
        </w:rPr>
      </w:pPr>
      <w:r w:rsidRPr="00F730E7">
        <w:rPr>
          <w:rFonts w:cstheme="minorHAnsi"/>
          <w:sz w:val="20"/>
          <w:szCs w:val="20"/>
        </w:rPr>
        <w:t xml:space="preserve">Retinitis </w:t>
      </w:r>
      <w:proofErr w:type="spellStart"/>
      <w:r w:rsidRPr="00F730E7">
        <w:rPr>
          <w:rFonts w:cstheme="minorHAnsi"/>
          <w:sz w:val="20"/>
          <w:szCs w:val="20"/>
        </w:rPr>
        <w:t>pigmentosa</w:t>
      </w:r>
      <w:proofErr w:type="spellEnd"/>
      <w:r w:rsidRPr="00F730E7">
        <w:rPr>
          <w:rFonts w:cstheme="minorHAnsi"/>
          <w:sz w:val="20"/>
          <w:szCs w:val="20"/>
        </w:rPr>
        <w:t xml:space="preserve"> is a common label for a heterogeneous group of heritable retinal degenerative diseases that result in progressive visual loss secondary to photoreceptor cell death. Of the 2 photoreceptor cell types in retina (Rods and cones), these diseases primarily affect rods. This is reflected in the natural clinical course of retinitis </w:t>
      </w:r>
      <w:proofErr w:type="spellStart"/>
      <w:r w:rsidRPr="00F730E7">
        <w:rPr>
          <w:rFonts w:cstheme="minorHAnsi"/>
          <w:sz w:val="20"/>
          <w:szCs w:val="20"/>
        </w:rPr>
        <w:t>pigmentosa</w:t>
      </w:r>
      <w:proofErr w:type="spellEnd"/>
      <w:r w:rsidRPr="00F730E7">
        <w:rPr>
          <w:rFonts w:cstheme="minorHAnsi"/>
          <w:sz w:val="20"/>
          <w:szCs w:val="20"/>
        </w:rPr>
        <w:t xml:space="preserve">, which usually begins with loss of rod-mediated night vision and Advances over the years with progressive loss of the peripheral visual field and, ultimately, the loss of central, cone-mediated vision. There is concomitant attenuation of the retinal vasculature. It is thought that vascular loss follows decreased metabolic demand by the photoreceptors. Currently no definitive treatment for retinitis </w:t>
      </w:r>
      <w:proofErr w:type="spellStart"/>
      <w:r w:rsidRPr="00F730E7">
        <w:rPr>
          <w:rFonts w:cstheme="minorHAnsi"/>
          <w:sz w:val="20"/>
          <w:szCs w:val="20"/>
        </w:rPr>
        <w:t>pigmentosa</w:t>
      </w:r>
      <w:proofErr w:type="spellEnd"/>
      <w:r w:rsidRPr="00F730E7">
        <w:rPr>
          <w:rFonts w:cstheme="minorHAnsi"/>
          <w:sz w:val="20"/>
          <w:szCs w:val="20"/>
        </w:rPr>
        <w:t xml:space="preserve"> exists, although nutritional approaches may slow some forms of this disease. </w:t>
      </w:r>
      <w:proofErr w:type="spellStart"/>
      <w:r w:rsidRPr="00F730E7">
        <w:rPr>
          <w:rFonts w:cstheme="minorHAnsi"/>
          <w:sz w:val="20"/>
          <w:szCs w:val="20"/>
        </w:rPr>
        <w:t>Mesenchymal</w:t>
      </w:r>
      <w:proofErr w:type="spellEnd"/>
      <w:r w:rsidRPr="00F730E7">
        <w:rPr>
          <w:rFonts w:cstheme="minorHAnsi"/>
          <w:sz w:val="20"/>
          <w:szCs w:val="20"/>
        </w:rPr>
        <w:t xml:space="preserve"> stem cells (MSCs) are progenitors of all connective tissue cells. A number of studies have shown that bone-marrow-derived MSCs can differentiate into cells expressing photoreceptor proteins. Induced </w:t>
      </w:r>
      <w:proofErr w:type="spellStart"/>
      <w:r w:rsidRPr="00F730E7">
        <w:rPr>
          <w:rFonts w:cstheme="minorHAnsi"/>
          <w:sz w:val="20"/>
          <w:szCs w:val="20"/>
        </w:rPr>
        <w:t>pluripotent</w:t>
      </w:r>
      <w:proofErr w:type="spellEnd"/>
      <w:r w:rsidRPr="00F730E7">
        <w:rPr>
          <w:rFonts w:cstheme="minorHAnsi"/>
          <w:sz w:val="20"/>
          <w:szCs w:val="20"/>
        </w:rPr>
        <w:t xml:space="preserve"> stem cells are ES-like </w:t>
      </w:r>
      <w:proofErr w:type="spellStart"/>
      <w:r w:rsidRPr="00F730E7">
        <w:rPr>
          <w:rFonts w:cstheme="minorHAnsi"/>
          <w:sz w:val="20"/>
          <w:szCs w:val="20"/>
        </w:rPr>
        <w:t>pluripotent</w:t>
      </w:r>
      <w:proofErr w:type="spellEnd"/>
      <w:r w:rsidRPr="00F730E7">
        <w:rPr>
          <w:rFonts w:cstheme="minorHAnsi"/>
          <w:sz w:val="20"/>
          <w:szCs w:val="20"/>
        </w:rPr>
        <w:t xml:space="preserve"> cells capable of differentiating into most, if not all, body cells. This potential promises an unlimited source of differentiated cells to replace those lost in many human degenerative </w:t>
      </w:r>
      <w:proofErr w:type="spellStart"/>
      <w:r w:rsidRPr="00F730E7">
        <w:rPr>
          <w:rFonts w:cstheme="minorHAnsi"/>
          <w:sz w:val="20"/>
          <w:szCs w:val="20"/>
        </w:rPr>
        <w:t>diseases.In</w:t>
      </w:r>
      <w:proofErr w:type="spellEnd"/>
      <w:r w:rsidRPr="00F730E7">
        <w:rPr>
          <w:rFonts w:cstheme="minorHAnsi"/>
          <w:sz w:val="20"/>
          <w:szCs w:val="20"/>
        </w:rPr>
        <w:t xml:space="preserve"> this study we compare between two types of stem cells to restore vision in RP patients . Results are compared according to visual outcome, investigations and complications. Finally the use of stem cell is useful in cases of retinitis </w:t>
      </w:r>
      <w:proofErr w:type="spellStart"/>
      <w:r w:rsidRPr="00F730E7">
        <w:rPr>
          <w:rFonts w:cstheme="minorHAnsi"/>
          <w:sz w:val="20"/>
          <w:szCs w:val="20"/>
        </w:rPr>
        <w:t>pigmentosa</w:t>
      </w:r>
      <w:proofErr w:type="spellEnd"/>
      <w:r w:rsidRPr="00F730E7">
        <w:rPr>
          <w:rFonts w:cstheme="minorHAnsi"/>
          <w:sz w:val="20"/>
          <w:szCs w:val="20"/>
        </w:rPr>
        <w:t xml:space="preserve"> and may be other retinal dystrophies.</w:t>
      </w:r>
    </w:p>
    <w:sectPr w:rsidR="00D55148" w:rsidSect="009C77D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B79EF"/>
    <w:rsid w:val="007B79EF"/>
    <w:rsid w:val="009C77DE"/>
    <w:rsid w:val="00C31992"/>
    <w:rsid w:val="00CB10BB"/>
    <w:rsid w:val="00D55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9E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h</cp:lastModifiedBy>
  <cp:revision>2</cp:revision>
  <dcterms:created xsi:type="dcterms:W3CDTF">2018-03-28T11:52:00Z</dcterms:created>
  <dcterms:modified xsi:type="dcterms:W3CDTF">2018-03-28T11:53:00Z</dcterms:modified>
</cp:coreProperties>
</file>