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20" w:firstLineChars="50"/>
        <w:rPr>
          <w:rFonts w:ascii="Times New Roman" w:hAnsi="Times New Roman" w:eastAsia="Calibri" w:cs="Times New Roman"/>
          <w:b/>
          <w:sz w:val="24"/>
          <w:szCs w:val="24"/>
        </w:rPr>
      </w:pPr>
      <w:r>
        <w:rPr>
          <w:rFonts w:ascii="Times New Roman" w:hAnsi="Times New Roman" w:eastAsia="Calibri" w:cs="Times New Roman"/>
          <w:b/>
          <w:sz w:val="24"/>
          <w:szCs w:val="24"/>
        </w:rPr>
        <w:t xml:space="preserve">Concomitant Squamous cell Carcinoma of the Bladder and Renal tuberculosis: A Case Report from Northern Tanzania. </w:t>
      </w:r>
    </w:p>
    <w:p>
      <w:pPr>
        <w:spacing w:after="0"/>
        <w:rPr>
          <w:rFonts w:ascii="Times New Roman" w:hAnsi="Times New Roman" w:cs="Times New Roman"/>
          <w:sz w:val="24"/>
          <w:szCs w:val="24"/>
        </w:rPr>
      </w:pPr>
      <w:r>
        <w:rPr>
          <w:rFonts w:ascii="Times New Roman" w:hAnsi="Times New Roman" w:cs="Times New Roman"/>
          <w:sz w:val="24"/>
          <w:szCs w:val="24"/>
        </w:rPr>
        <w:t>Orgeness Jasper Mbwambo</w:t>
      </w:r>
      <w:r>
        <w:rPr>
          <w:rFonts w:ascii="Times New Roman" w:hAnsi="Times New Roman" w:cs="Times New Roman"/>
          <w:sz w:val="24"/>
          <w:szCs w:val="24"/>
          <w:vertAlign w:val="superscript"/>
        </w:rPr>
        <w:t>1, 2</w:t>
      </w:r>
      <w:r>
        <w:rPr>
          <w:rFonts w:ascii="Times New Roman" w:hAnsi="Times New Roman" w:cs="Times New Roman"/>
          <w:sz w:val="24"/>
          <w:szCs w:val="24"/>
        </w:rPr>
        <w:t>, Alex Mremi</w:t>
      </w:r>
      <w:r>
        <w:rPr>
          <w:rFonts w:ascii="Times New Roman" w:hAnsi="Times New Roman" w:cs="Times New Roman"/>
          <w:sz w:val="24"/>
          <w:szCs w:val="24"/>
          <w:vertAlign w:val="superscript"/>
        </w:rPr>
        <w:t>1,3</w:t>
      </w:r>
      <w:r>
        <w:rPr>
          <w:rFonts w:ascii="Times New Roman" w:hAnsi="Times New Roman" w:cs="Times New Roman"/>
          <w:sz w:val="24"/>
          <w:szCs w:val="24"/>
        </w:rPr>
        <w:t>, Sabina Mugusi</w:t>
      </w:r>
      <w:r>
        <w:rPr>
          <w:rFonts w:ascii="Times New Roman" w:hAnsi="Times New Roman" w:cs="Times New Roman"/>
          <w:sz w:val="24"/>
          <w:szCs w:val="24"/>
          <w:vertAlign w:val="superscript"/>
        </w:rPr>
        <w:t>4</w:t>
      </w:r>
      <w:r>
        <w:rPr>
          <w:rFonts w:ascii="Times New Roman" w:hAnsi="Times New Roman" w:cs="Times New Roman"/>
          <w:sz w:val="24"/>
          <w:szCs w:val="24"/>
        </w:rPr>
        <w:t>, Jasper Said Mbwambo</w:t>
      </w:r>
      <w:r>
        <w:rPr>
          <w:rFonts w:ascii="Times New Roman" w:hAnsi="Times New Roman" w:cs="Times New Roman"/>
          <w:sz w:val="24"/>
          <w:szCs w:val="24"/>
          <w:vertAlign w:val="superscript"/>
        </w:rPr>
        <w:t>1,2</w:t>
      </w:r>
      <w:r>
        <w:rPr>
          <w:rFonts w:ascii="Times New Roman" w:hAnsi="Times New Roman" w:cs="Times New Roman"/>
          <w:sz w:val="24"/>
          <w:szCs w:val="24"/>
        </w:rPr>
        <w:t>, Frank Bright</w:t>
      </w:r>
      <w:r>
        <w:rPr>
          <w:rFonts w:ascii="Times New Roman" w:hAnsi="Times New Roman" w:cs="Times New Roman"/>
          <w:sz w:val="24"/>
          <w:szCs w:val="24"/>
          <w:vertAlign w:val="superscript"/>
        </w:rPr>
        <w:t>1,2</w:t>
      </w:r>
      <w:r>
        <w:rPr>
          <w:rFonts w:ascii="Times New Roman" w:hAnsi="Times New Roman" w:cs="Times New Roman"/>
          <w:sz w:val="24"/>
          <w:szCs w:val="24"/>
        </w:rPr>
        <w:t xml:space="preserve">, </w:t>
      </w:r>
      <w:r>
        <w:rPr>
          <w:rFonts w:hint="default" w:ascii="Times New Roman" w:hAnsi="Times New Roman" w:cs="Times New Roman"/>
          <w:sz w:val="24"/>
          <w:szCs w:val="24"/>
          <w:lang w:val="en-GB"/>
        </w:rPr>
        <w:t>Alfred Kien Mteta</w:t>
      </w:r>
      <w:r>
        <w:rPr>
          <w:rFonts w:hint="default" w:ascii="Times New Roman" w:hAnsi="Times New Roman" w:cs="Times New Roman"/>
          <w:sz w:val="24"/>
          <w:szCs w:val="24"/>
          <w:vertAlign w:val="superscript"/>
          <w:lang w:val="en-GB"/>
        </w:rPr>
        <w:t>1,2</w:t>
      </w:r>
      <w:r>
        <w:rPr>
          <w:rFonts w:hint="default" w:ascii="Times New Roman" w:hAnsi="Times New Roman" w:cs="Times New Roman"/>
          <w:sz w:val="24"/>
          <w:szCs w:val="24"/>
          <w:vertAlign w:val="baseline"/>
          <w:lang w:val="en-GB"/>
        </w:rPr>
        <w:t>,</w:t>
      </w:r>
      <w:r>
        <w:rPr>
          <w:rFonts w:ascii="Times New Roman" w:hAnsi="Times New Roman" w:cs="Times New Roman"/>
          <w:sz w:val="24"/>
          <w:szCs w:val="24"/>
        </w:rPr>
        <w:t xml:space="preserve">Bartholomeo Nicholaus Ngowi </w:t>
      </w:r>
      <w:r>
        <w:rPr>
          <w:rFonts w:ascii="Times New Roman" w:hAnsi="Times New Roman" w:cs="Times New Roman"/>
          <w:sz w:val="24"/>
          <w:szCs w:val="24"/>
          <w:vertAlign w:val="superscript"/>
        </w:rPr>
        <w:t>1,2</w:t>
      </w:r>
      <w:r>
        <w:rPr>
          <w:rFonts w:ascii="Times New Roman" w:hAnsi="Times New Roman" w:cs="Times New Roman"/>
          <w:sz w:val="24"/>
          <w:szCs w:val="24"/>
        </w:rPr>
        <w:t xml:space="preserve">.  </w:t>
      </w:r>
    </w:p>
    <w:p>
      <w:pPr>
        <w:pStyle w:val="5"/>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Faculty of Medicine, Kilimanjaro Christian Medical University College. P .O .Box 2240. Moshi, Tanzania </w:t>
      </w:r>
    </w:p>
    <w:p>
      <w:pPr>
        <w:pStyle w:val="5"/>
        <w:numPr>
          <w:ilvl w:val="0"/>
          <w:numId w:val="1"/>
        </w:numPr>
        <w:spacing w:after="0"/>
        <w:rPr>
          <w:rFonts w:ascii="Times New Roman" w:hAnsi="Times New Roman" w:cs="Times New Roman"/>
          <w:sz w:val="24"/>
          <w:szCs w:val="24"/>
        </w:rPr>
      </w:pPr>
      <w:r>
        <w:rPr>
          <w:rFonts w:ascii="Times New Roman" w:hAnsi="Times New Roman" w:cs="Times New Roman"/>
          <w:sz w:val="24"/>
          <w:szCs w:val="24"/>
        </w:rPr>
        <w:t>Department of urology, Kilimanjaro Christian medical Centre, P. O. Box 3010, Moshi Tanzania.</w:t>
      </w:r>
    </w:p>
    <w:p>
      <w:pPr>
        <w:pStyle w:val="5"/>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Department of Pathology. Kilimanjaro Christian Medical centre. P.O. Box 3010, Moshi, Tanzania. </w:t>
      </w:r>
    </w:p>
    <w:p>
      <w:pPr>
        <w:spacing w:after="0"/>
        <w:rPr>
          <w:rFonts w:ascii="Times New Roman" w:hAnsi="Times New Roman" w:cs="Times New Roman"/>
          <w:sz w:val="24"/>
          <w:szCs w:val="24"/>
        </w:rPr>
      </w:pPr>
      <w:r>
        <w:rPr>
          <w:rFonts w:ascii="Times New Roman" w:hAnsi="Times New Roman" w:cs="Times New Roman"/>
          <w:sz w:val="24"/>
          <w:szCs w:val="24"/>
        </w:rPr>
        <w:t xml:space="preserve">Corresponding Author: Dr Orgeness Jasper Mbwambo E mail: </w:t>
      </w:r>
      <w:r>
        <w:fldChar w:fldCharType="begin"/>
      </w:r>
      <w:r>
        <w:instrText xml:space="preserve"> HYPERLINK "mailto:orgeness@live.com" </w:instrText>
      </w:r>
      <w:r>
        <w:fldChar w:fldCharType="separate"/>
      </w:r>
      <w:r>
        <w:rPr>
          <w:rStyle w:val="6"/>
          <w:rFonts w:ascii="Times New Roman" w:hAnsi="Times New Roman" w:cs="Times New Roman"/>
          <w:sz w:val="24"/>
          <w:szCs w:val="24"/>
        </w:rPr>
        <w:t>orgeness@live.com</w:t>
      </w:r>
      <w:r>
        <w:rPr>
          <w:rStyle w:val="6"/>
          <w:rFonts w:ascii="Times New Roman" w:hAnsi="Times New Roman" w:cs="Times New Roman"/>
          <w:sz w:val="24"/>
          <w:szCs w:val="24"/>
        </w:rPr>
        <w:fldChar w:fldCharType="end"/>
      </w:r>
      <w:r>
        <w:rPr>
          <w:rFonts w:ascii="Times New Roman" w:hAnsi="Times New Roman" w:cs="Times New Roman"/>
          <w:sz w:val="24"/>
          <w:szCs w:val="24"/>
        </w:rPr>
        <w:t xml:space="preserve"> </w:t>
      </w:r>
    </w:p>
    <w:p>
      <w:pPr>
        <w:spacing w:after="0"/>
        <w:rPr>
          <w:rFonts w:ascii="Times New Roman" w:hAnsi="Times New Roman" w:eastAsia="Calibri" w:cs="Times New Roman"/>
          <w:b/>
          <w:sz w:val="24"/>
          <w:szCs w:val="24"/>
        </w:rPr>
        <w:sectPr>
          <w:pgSz w:w="12240" w:h="15840"/>
          <w:pgMar w:top="1440" w:right="1440" w:bottom="1440" w:left="1440" w:header="720" w:footer="720" w:gutter="0"/>
          <w:cols w:space="0" w:num="1"/>
          <w:rtlGutter w:val="0"/>
          <w:docGrid w:linePitch="0" w:charSpace="0"/>
        </w:sectPr>
      </w:pPr>
    </w:p>
    <w:p>
      <w:pPr>
        <w:spacing w:before="100" w:beforeAutospacing="1" w:after="100" w:afterAutospacing="1" w:line="240" w:lineRule="auto"/>
        <w:rPr>
          <w:rFonts w:hint="default" w:ascii="Times New Roman" w:hAnsi="Times New Roman" w:eastAsia="Times New Roman" w:cs="Times New Roman"/>
          <w:b/>
          <w:bCs/>
          <w:color w:val="333333"/>
          <w:sz w:val="24"/>
          <w:szCs w:val="24"/>
          <w:lang w:val="en-US" w:eastAsia="en-GB"/>
        </w:rPr>
      </w:pPr>
    </w:p>
    <w:p>
      <w:pPr>
        <w:spacing w:before="100" w:beforeAutospacing="1" w:after="100" w:afterAutospacing="1" w:line="240" w:lineRule="auto"/>
        <w:rPr>
          <w:rFonts w:hint="default" w:ascii="Times New Roman" w:hAnsi="Times New Roman" w:eastAsia="Times New Roman" w:cs="Times New Roman"/>
          <w:b/>
          <w:bCs/>
          <w:color w:val="333333"/>
          <w:sz w:val="24"/>
          <w:szCs w:val="24"/>
          <w:lang w:val="en-US" w:eastAsia="en-GB"/>
        </w:rPr>
      </w:pPr>
      <w:r>
        <w:rPr>
          <w:rFonts w:hint="default" w:ascii="Times New Roman" w:hAnsi="Times New Roman" w:eastAsia="Times New Roman" w:cs="Times New Roman"/>
          <w:b/>
          <w:bCs/>
          <w:color w:val="333333"/>
          <w:sz w:val="24"/>
          <w:szCs w:val="24"/>
          <w:lang w:val="en-US" w:eastAsia="en-GB"/>
        </w:rPr>
        <w:t xml:space="preserve">Abstract </w:t>
      </w:r>
    </w:p>
    <w:p>
      <w:pPr>
        <w:spacing w:before="100" w:beforeAutospacing="1" w:after="100" w:afterAutospacing="1" w:line="240" w:lineRule="auto"/>
        <w:rPr>
          <w:rFonts w:hint="default" w:ascii="Times New Roman" w:hAnsi="Times New Roman" w:eastAsia="Times New Roman" w:cs="Times New Roman"/>
          <w:b/>
          <w:bCs/>
          <w:color w:val="333333"/>
          <w:sz w:val="24"/>
          <w:szCs w:val="24"/>
          <w:lang w:val="en-US" w:eastAsia="en-GB"/>
        </w:rPr>
      </w:pPr>
      <w:r>
        <w:rPr>
          <w:rFonts w:hint="default" w:ascii="Times New Roman" w:hAnsi="Times New Roman" w:eastAsia="Times New Roman" w:cs="Times New Roman"/>
          <w:b/>
          <w:bCs/>
          <w:color w:val="333333"/>
          <w:sz w:val="24"/>
          <w:szCs w:val="24"/>
          <w:lang w:val="en-US" w:eastAsia="en-GB"/>
        </w:rPr>
        <w:t xml:space="preserve">Introduction </w:t>
      </w:r>
    </w:p>
    <w:p>
      <w:pPr>
        <w:spacing w:before="100" w:beforeAutospacing="1" w:after="100" w:afterAutospacing="1" w:line="240" w:lineRule="auto"/>
        <w:rPr>
          <w:rFonts w:hint="default" w:ascii="Times New Roman" w:hAnsi="Times New Roman" w:eastAsia="Times New Roman" w:cs="Times New Roman"/>
          <w:color w:val="333333"/>
          <w:sz w:val="24"/>
          <w:szCs w:val="24"/>
          <w:lang w:eastAsia="en-GB"/>
        </w:rPr>
      </w:pPr>
      <w:r>
        <w:rPr>
          <w:rFonts w:hint="default" w:ascii="Times New Roman" w:hAnsi="Times New Roman" w:eastAsia="Times New Roman" w:cs="Times New Roman"/>
          <w:color w:val="333333"/>
          <w:sz w:val="24"/>
          <w:szCs w:val="24"/>
          <w:lang w:val="en-US" w:eastAsia="en-GB"/>
        </w:rPr>
        <w:t>T</w:t>
      </w:r>
      <w:r>
        <w:rPr>
          <w:rFonts w:hint="default" w:ascii="Times New Roman" w:hAnsi="Times New Roman" w:eastAsia="Times New Roman" w:cs="Times New Roman"/>
          <w:color w:val="333333"/>
          <w:sz w:val="24"/>
          <w:szCs w:val="24"/>
          <w:lang w:eastAsia="en-GB"/>
        </w:rPr>
        <w:t>uberculosis has been associated with malignancy especially transitional cell carcinoma. Concomitant squamous cell carcinoma (SCC) and renal tuberculosis (TB) is a rare presentation. It is associated with poor prognosis and poses a challenge in the management. We present a challenging case of locally advanced SCC of the bladder with co-active renal tuberculosis. The patient died 6 months later after diagnosis of SCC of the bladder and right renal TB.</w:t>
      </w:r>
    </w:p>
    <w:p>
      <w:pPr>
        <w:spacing w:before="100" w:beforeAutospacing="1" w:after="100" w:afterAutospacing="1" w:line="240" w:lineRule="auto"/>
        <w:outlineLvl w:val="0"/>
        <w:rPr>
          <w:rFonts w:hint="default" w:ascii="Times New Roman" w:hAnsi="Times New Roman" w:eastAsia="Times New Roman" w:cs="Times New Roman"/>
          <w:b/>
          <w:bCs/>
          <w:color w:val="333333"/>
          <w:kern w:val="36"/>
          <w:sz w:val="24"/>
          <w:szCs w:val="24"/>
          <w:lang w:eastAsia="en-GB"/>
        </w:rPr>
      </w:pPr>
      <w:r>
        <w:rPr>
          <w:rFonts w:hint="default" w:ascii="Times New Roman" w:hAnsi="Times New Roman" w:eastAsia="Times New Roman" w:cs="Times New Roman"/>
          <w:b/>
          <w:bCs/>
          <w:color w:val="333333"/>
          <w:kern w:val="36"/>
          <w:sz w:val="24"/>
          <w:szCs w:val="24"/>
          <w:lang w:eastAsia="en-GB"/>
        </w:rPr>
        <w:t>Case Presentation</w:t>
      </w:r>
    </w:p>
    <w:p>
      <w:pPr>
        <w:spacing w:before="100" w:beforeAutospacing="1" w:after="100" w:afterAutospacing="1" w:line="240" w:lineRule="auto"/>
        <w:rPr>
          <w:rFonts w:hint="default" w:ascii="Times New Roman" w:hAnsi="Times New Roman" w:eastAsia="Times New Roman" w:cs="Times New Roman"/>
          <w:color w:val="333333"/>
          <w:sz w:val="24"/>
          <w:szCs w:val="24"/>
          <w:lang w:eastAsia="en-GB"/>
        </w:rPr>
      </w:pPr>
      <w:r>
        <w:rPr>
          <w:rFonts w:hint="default" w:ascii="Times New Roman" w:hAnsi="Times New Roman" w:eastAsia="Times New Roman" w:cs="Times New Roman"/>
          <w:color w:val="333333"/>
          <w:sz w:val="24"/>
          <w:szCs w:val="24"/>
          <w:lang w:eastAsia="en-GB"/>
        </w:rPr>
        <w:t>We report a case of 47-year-old female who presented with a history of lower abdominal pain associated with on off hematuria for 4 months. She has a previous history of TB of spine which was treated with anti-TB for 1 year following diagnosis. She underwent radical cystectomy and right nephrectomy following inestigations. Histological diagnosis revealed SCC of the bladder with right renal TB.Due to loss to follow up she started anti TB 3 months later after surgery and succumbed 3 months after initiation of Anti-TB.</w:t>
      </w:r>
    </w:p>
    <w:p>
      <w:pPr>
        <w:spacing w:before="100" w:beforeAutospacing="1" w:after="100" w:afterAutospacing="1" w:line="240" w:lineRule="auto"/>
        <w:outlineLvl w:val="0"/>
        <w:rPr>
          <w:rFonts w:hint="default" w:ascii="Times New Roman" w:hAnsi="Times New Roman" w:eastAsia="Times New Roman" w:cs="Times New Roman"/>
          <w:b/>
          <w:bCs/>
          <w:color w:val="333333"/>
          <w:kern w:val="36"/>
          <w:sz w:val="24"/>
          <w:szCs w:val="24"/>
          <w:lang w:eastAsia="en-GB"/>
        </w:rPr>
      </w:pPr>
      <w:r>
        <w:rPr>
          <w:rFonts w:hint="default" w:ascii="Times New Roman" w:hAnsi="Times New Roman" w:eastAsia="Times New Roman" w:cs="Times New Roman"/>
          <w:b/>
          <w:bCs/>
          <w:color w:val="333333"/>
          <w:kern w:val="36"/>
          <w:sz w:val="24"/>
          <w:szCs w:val="24"/>
          <w:lang w:eastAsia="en-GB"/>
        </w:rPr>
        <w:t>Clinical discussion</w:t>
      </w:r>
    </w:p>
    <w:p>
      <w:pPr>
        <w:spacing w:before="100" w:beforeAutospacing="1" w:after="100" w:afterAutospacing="1" w:line="240" w:lineRule="auto"/>
        <w:rPr>
          <w:rFonts w:hint="default" w:ascii="Times New Roman" w:hAnsi="Times New Roman" w:eastAsia="Times New Roman" w:cs="Times New Roman"/>
          <w:color w:val="333333"/>
          <w:sz w:val="24"/>
          <w:szCs w:val="24"/>
          <w:lang w:eastAsia="en-GB"/>
        </w:rPr>
      </w:pPr>
      <w:r>
        <w:rPr>
          <w:rFonts w:hint="default" w:ascii="Times New Roman" w:hAnsi="Times New Roman" w:eastAsia="Times New Roman" w:cs="Times New Roman"/>
          <w:color w:val="333333"/>
          <w:sz w:val="24"/>
          <w:szCs w:val="24"/>
          <w:lang w:eastAsia="en-GB"/>
        </w:rPr>
        <w:t>There is little evidence on the association between malignancy and TB and SCC of urinary bladder and renal TB is an unreported entity.  In a challenging scenario like this, both adjuvant chemotherapy and anti-TB can be given simultaneously in patients with good performance status. However, in our case we could only initiate anti-TB and chemotherapy was not given because of poor clinical condition of the patient.</w:t>
      </w:r>
    </w:p>
    <w:p>
      <w:pPr>
        <w:spacing w:before="100" w:beforeAutospacing="1" w:after="100" w:afterAutospacing="1" w:line="240" w:lineRule="auto"/>
        <w:outlineLvl w:val="0"/>
        <w:rPr>
          <w:rFonts w:hint="default" w:ascii="Times New Roman" w:hAnsi="Times New Roman" w:eastAsia="Times New Roman" w:cs="Times New Roman"/>
          <w:b/>
          <w:bCs/>
          <w:color w:val="333333"/>
          <w:kern w:val="36"/>
          <w:sz w:val="24"/>
          <w:szCs w:val="24"/>
          <w:lang w:eastAsia="en-GB"/>
        </w:rPr>
      </w:pPr>
      <w:r>
        <w:rPr>
          <w:rFonts w:hint="default" w:ascii="Times New Roman" w:hAnsi="Times New Roman" w:eastAsia="Times New Roman" w:cs="Times New Roman"/>
          <w:b/>
          <w:bCs/>
          <w:color w:val="333333"/>
          <w:kern w:val="36"/>
          <w:sz w:val="24"/>
          <w:szCs w:val="24"/>
          <w:lang w:eastAsia="en-GB"/>
        </w:rPr>
        <w:t>Conclusion</w:t>
      </w:r>
    </w:p>
    <w:p>
      <w:pPr>
        <w:spacing w:before="100" w:beforeAutospacing="1" w:after="100" w:afterAutospacing="1" w:line="240" w:lineRule="auto"/>
        <w:rPr>
          <w:rFonts w:hint="default" w:ascii="Times New Roman" w:hAnsi="Times New Roman" w:eastAsia="Times New Roman" w:cs="Times New Roman"/>
          <w:color w:val="333333"/>
          <w:sz w:val="24"/>
          <w:szCs w:val="24"/>
          <w:lang w:eastAsia="en-GB"/>
        </w:rPr>
      </w:pPr>
      <w:r>
        <w:rPr>
          <w:rFonts w:hint="default" w:ascii="Times New Roman" w:hAnsi="Times New Roman" w:eastAsia="Times New Roman" w:cs="Times New Roman"/>
          <w:color w:val="333333"/>
          <w:sz w:val="24"/>
          <w:szCs w:val="24"/>
          <w:lang w:eastAsia="en-GB"/>
        </w:rPr>
        <w:t>Concomitant advanced SCC of the urinary bladder and renal TB poses a challenge in the management and the prognosis is often poor.</w:t>
      </w:r>
    </w:p>
    <w:p>
      <w:pPr>
        <w:spacing w:line="360" w:lineRule="auto"/>
        <w:rPr>
          <w:rFonts w:ascii="Times New Roman" w:hAnsi="Times New Roman" w:cs="Times New Roman"/>
          <w:b/>
          <w:sz w:val="24"/>
          <w:szCs w:val="24"/>
        </w:rPr>
        <w:sectPr>
          <w:footerReference r:id="rId5" w:type="default"/>
          <w:pgSz w:w="12240" w:h="15840"/>
          <w:pgMar w:top="1440" w:right="1440" w:bottom="1440" w:left="1440" w:header="720" w:footer="720" w:gutter="0"/>
          <w:cols w:space="720" w:num="1"/>
          <w:docGrid w:linePitch="360" w:charSpace="0"/>
        </w:sectPr>
      </w:pPr>
      <w:r>
        <w:rPr>
          <w:rFonts w:ascii="Times New Roman" w:hAnsi="Times New Roman" w:eastAsia="Calibri" w:cs="Times New Roman"/>
          <w:b/>
          <w:sz w:val="24"/>
          <w:szCs w:val="24"/>
        </w:rPr>
        <w:t xml:space="preserve">Keywords: </w:t>
      </w:r>
      <w:r>
        <w:rPr>
          <w:rFonts w:ascii="Times New Roman" w:hAnsi="Times New Roman" w:eastAsia="Calibri" w:cs="Times New Roman"/>
          <w:sz w:val="24"/>
          <w:szCs w:val="24"/>
        </w:rPr>
        <w:t>Squamous cell carcinoma, renal tuberculosis, Tanza</w:t>
      </w:r>
      <w:r>
        <w:rPr>
          <w:rFonts w:hint="default" w:ascii="Times New Roman" w:hAnsi="Times New Roman" w:eastAsia="Calibri" w:cs="Times New Roman"/>
          <w:sz w:val="24"/>
          <w:szCs w:val="24"/>
          <w:lang w:val="en-GB"/>
        </w:rPr>
        <w:t xml:space="preserve">nia </w:t>
      </w:r>
    </w:p>
    <w:p>
      <w:pPr>
        <w:spacing w:before="100" w:beforeAutospacing="1" w:after="100" w:afterAutospacing="1" w:line="240" w:lineRule="auto"/>
        <w:rPr>
          <w:rFonts w:hint="default" w:ascii="Times New Roman" w:hAnsi="Times New Roman" w:eastAsia="Times New Roman" w:cs="Times New Roman"/>
          <w:color w:val="333333"/>
          <w:sz w:val="24"/>
          <w:szCs w:val="24"/>
          <w:lang w:eastAsia="en-GB"/>
        </w:rPr>
      </w:pPr>
      <w:bookmarkStart w:id="0" w:name="_GoBack"/>
      <w:bookmarkEnd w:id="0"/>
    </w:p>
    <w:p>
      <w:pPr>
        <w:rPr>
          <w:rFonts w:hint="default" w:ascii="Times New Roman" w:hAnsi="Times New Roman" w:cs="Times New Roman"/>
          <w:sz w:val="24"/>
          <w:szCs w:val="24"/>
        </w:rPr>
      </w:pPr>
    </w:p>
    <w:sectPr>
      <w:footerReference r:id="rId6"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ZxI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HWPZxIhAgAA&#10;YAQAAA4AAAAAAAAAAQAgAAAAHwEAAGRycy9lMm9Eb2MueG1sUEsFBgAAAAAGAAYAWQEAALIFAAAA&#10;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B63C95"/>
    <w:multiLevelType w:val="multilevel"/>
    <w:tmpl w:val="40B63C95"/>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18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18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180"/>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795"/>
    <w:rsid w:val="00463795"/>
    <w:rsid w:val="008B0563"/>
    <w:rsid w:val="0FF16296"/>
    <w:rsid w:val="1F5C227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34"/>
    <w:pPr>
      <w:ind w:left="720"/>
      <w:contextualSpacing/>
    </w:pPr>
  </w:style>
  <w:style w:type="character" w:customStyle="1" w:styleId="6">
    <w:name w:val="15"/>
    <w:basedOn w:val="2"/>
    <w:uiPriority w:val="0"/>
    <w:rPr>
      <w:rFonts w:hint="default" w:ascii="Calibri" w:hAnsi="Calibri" w:cs="Calibri"/>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234</Words>
  <Characters>1336</Characters>
  <Lines>11</Lines>
  <Paragraphs>3</Paragraphs>
  <TotalTime>0</TotalTime>
  <ScaleCrop>false</ScaleCrop>
  <LinksUpToDate>false</LinksUpToDate>
  <CharactersWithSpaces>1567</CharactersWithSpaces>
  <Application>WPS Office_11.2.0.11513_F1E327BC-269C-435d-A152-05C5408002CA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2023-01-30T09:28:00Z</dcterms:created>
  <dc:creator>Orgeness Mbwambo</dc:creator>
  <cp:lastModifiedBy>hp</cp:lastModifiedBy>
  <dcterms:modified xsi:type="dcterms:W3CDTF">2023-04-10T11:23:49Z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2057-11.2.0.11513</vt:lpwstr>
  </property>
  <property fmtid="{D5CDD505-2E9C-101B-9397-08002B2CF9AE}" pid="3" name="ICV">
    <vt:lpwstr>A9FE124E7AEA4C139743FA1BBDE342F9</vt:lpwstr>
  </property>
</Properties>
</file>