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7028A" w14:textId="77777777" w:rsidR="001460BB" w:rsidRDefault="001460BB" w:rsidP="00494130">
      <w:pPr>
        <w:pStyle w:val="Heading1"/>
        <w:spacing w:before="170"/>
        <w:ind w:left="0"/>
        <w:rPr>
          <w:b w:val="0"/>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60BB">
        <w:rPr>
          <w:b w:val="0"/>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Continues remote monitoring of Critically ill COVID 19 patients</w:t>
      </w:r>
    </w:p>
    <w:p w14:paraId="64280132" w14:textId="17FD140D" w:rsidR="00AE3E37" w:rsidRPr="001460BB" w:rsidRDefault="001460BB" w:rsidP="00494130">
      <w:pPr>
        <w:pStyle w:val="Heading1"/>
        <w:spacing w:before="170"/>
        <w:ind w:left="0"/>
        <w:rPr>
          <w:b w:val="0"/>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60BB">
        <w:rPr>
          <w:b w:val="0"/>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w:t>
      </w:r>
      <w:r w:rsidRPr="001460BB">
        <w:rPr>
          <w:b w:val="0"/>
          <w:color w:val="4F81BD" w:themeColor="accent1"/>
          <w:vertAlign w:val="subscrip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Pr="001460BB">
        <w:rPr>
          <w:b w:val="0"/>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study):  A Predictor of outcome </w:t>
      </w:r>
    </w:p>
    <w:p w14:paraId="44E4B908" w14:textId="77777777" w:rsidR="001460BB" w:rsidRDefault="001460BB" w:rsidP="001460BB">
      <w:pPr>
        <w:rPr>
          <w:rFonts w:eastAsia="MS PGothic" w:hAnsi="Arial"/>
          <w:color w:val="000000"/>
        </w:rPr>
      </w:pPr>
      <w:r>
        <w:rPr>
          <w:b/>
          <w:sz w:val="28"/>
          <w:szCs w:val="28"/>
        </w:rPr>
        <w:t xml:space="preserve">                                            </w:t>
      </w:r>
      <w:r>
        <w:rPr>
          <w:rFonts w:eastAsia="MS PGothic" w:hAnsi="Arial"/>
          <w:color w:val="000000"/>
        </w:rPr>
        <w:t xml:space="preserve">Name: Dr Avinash </w:t>
      </w:r>
      <w:proofErr w:type="spellStart"/>
      <w:r>
        <w:rPr>
          <w:rFonts w:eastAsia="MS PGothic" w:hAnsi="Arial"/>
          <w:color w:val="000000"/>
        </w:rPr>
        <w:t>Hanbe</w:t>
      </w:r>
      <w:proofErr w:type="spellEnd"/>
      <w:r>
        <w:rPr>
          <w:rFonts w:eastAsia="MS PGothic" w:hAnsi="Arial"/>
          <w:color w:val="000000"/>
        </w:rPr>
        <w:t xml:space="preserve"> </w:t>
      </w:r>
      <w:proofErr w:type="spellStart"/>
      <w:r>
        <w:rPr>
          <w:rFonts w:eastAsia="MS PGothic" w:hAnsi="Arial"/>
          <w:color w:val="000000"/>
        </w:rPr>
        <w:t>Rajanna</w:t>
      </w:r>
      <w:proofErr w:type="spellEnd"/>
    </w:p>
    <w:p w14:paraId="159B4DE3" w14:textId="463CC452" w:rsidR="001460BB" w:rsidRDefault="001460BB" w:rsidP="001460BB">
      <w:pPr>
        <w:rPr>
          <w:rFonts w:eastAsia="MS PGothic" w:hAnsi="Arial"/>
          <w:color w:val="000000"/>
        </w:rPr>
      </w:pPr>
      <w:r>
        <w:rPr>
          <w:rFonts w:eastAsia="MS PGothic" w:hAnsi="Arial"/>
          <w:color w:val="000000"/>
        </w:rPr>
        <w:t xml:space="preserve">                          </w:t>
      </w:r>
      <w:r>
        <w:rPr>
          <w:rFonts w:eastAsia="MS PGothic" w:hAnsi="Arial"/>
          <w:color w:val="000000"/>
        </w:rPr>
        <w:t>Rajiv</w:t>
      </w:r>
      <w:r>
        <w:rPr>
          <w:rFonts w:eastAsia="MS PGothic" w:hAnsi="Arial"/>
          <w:color w:val="000000"/>
        </w:rPr>
        <w:t xml:space="preserve"> </w:t>
      </w:r>
      <w:r>
        <w:rPr>
          <w:rFonts w:eastAsia="MS PGothic" w:hAnsi="Arial"/>
          <w:color w:val="000000"/>
        </w:rPr>
        <w:t>Gandhi</w:t>
      </w:r>
      <w:r>
        <w:rPr>
          <w:rFonts w:eastAsia="MS PGothic" w:hAnsi="Arial"/>
          <w:color w:val="000000"/>
        </w:rPr>
        <w:t xml:space="preserve"> university of health and sciences, </w:t>
      </w:r>
      <w:r>
        <w:rPr>
          <w:rFonts w:eastAsia="MS PGothic" w:hAnsi="Arial"/>
          <w:color w:val="000000"/>
        </w:rPr>
        <w:t>Bangalore</w:t>
      </w:r>
      <w:r>
        <w:rPr>
          <w:rFonts w:eastAsia="MS PGothic" w:hAnsi="Arial"/>
          <w:color w:val="000000"/>
        </w:rPr>
        <w:t xml:space="preserve"> </w:t>
      </w:r>
      <w:r>
        <w:rPr>
          <w:rFonts w:eastAsia="MS PGothic" w:hAnsi="Arial"/>
          <w:color w:val="000000"/>
        </w:rPr>
        <w:t>India</w:t>
      </w:r>
    </w:p>
    <w:p w14:paraId="35F99063" w14:textId="77777777" w:rsidR="00AE3E37" w:rsidRDefault="00AE3E37">
      <w:pPr>
        <w:pStyle w:val="BodyText"/>
        <w:spacing w:before="3"/>
        <w:rPr>
          <w:rFonts w:ascii="Arial"/>
          <w:sz w:val="21"/>
        </w:rPr>
      </w:pPr>
    </w:p>
    <w:p w14:paraId="4224FA56" w14:textId="77777777" w:rsidR="00AE3E37" w:rsidRDefault="00AE3E37">
      <w:pPr>
        <w:rPr>
          <w:rFonts w:ascii="Arial"/>
          <w:sz w:val="21"/>
        </w:rPr>
        <w:sectPr w:rsidR="00AE3E37" w:rsidSect="00D61792">
          <w:headerReference w:type="default" r:id="rId7"/>
          <w:footerReference w:type="default" r:id="rId8"/>
          <w:type w:val="continuous"/>
          <w:pgSz w:w="11910" w:h="16840"/>
          <w:pgMar w:top="1740" w:right="600" w:bottom="840" w:left="620" w:header="541" w:footer="642" w:gutter="0"/>
          <w:cols w:space="720"/>
        </w:sectPr>
      </w:pPr>
    </w:p>
    <w:p w14:paraId="1FA47CF3" w14:textId="77777777" w:rsidR="00AE3E37" w:rsidRPr="00491017" w:rsidRDefault="00A9710C">
      <w:pPr>
        <w:pStyle w:val="Heading3"/>
        <w:spacing w:before="147"/>
        <w:jc w:val="both"/>
        <w:rPr>
          <w:rFonts w:asciiTheme="minorHAnsi" w:hAnsiTheme="minorHAnsi" w:cstheme="minorHAnsi"/>
          <w:sz w:val="22"/>
          <w:szCs w:val="22"/>
        </w:rPr>
      </w:pPr>
      <w:r w:rsidRPr="00491017">
        <w:rPr>
          <w:rFonts w:asciiTheme="minorHAnsi" w:hAnsiTheme="minorHAnsi" w:cstheme="minorHAnsi"/>
          <w:color w:val="BF5A14"/>
          <w:sz w:val="22"/>
          <w:szCs w:val="22"/>
        </w:rPr>
        <w:t>Abstract</w:t>
      </w:r>
      <w:r w:rsidR="00404E5B" w:rsidRPr="00491017">
        <w:rPr>
          <w:rFonts w:asciiTheme="minorHAnsi" w:hAnsiTheme="minorHAnsi" w:cstheme="minorHAnsi"/>
          <w:color w:val="BF5A14"/>
          <w:sz w:val="22"/>
          <w:szCs w:val="22"/>
        </w:rPr>
        <w:t xml:space="preserve"> (</w:t>
      </w:r>
      <w:proofErr w:type="gramStart"/>
      <w:r w:rsidR="00404E5B" w:rsidRPr="00491017">
        <w:rPr>
          <w:rFonts w:asciiTheme="minorHAnsi" w:hAnsiTheme="minorHAnsi" w:cstheme="minorHAnsi"/>
          <w:color w:val="BF5A14"/>
          <w:sz w:val="22"/>
          <w:szCs w:val="22"/>
        </w:rPr>
        <w:t>300 word</w:t>
      </w:r>
      <w:proofErr w:type="gramEnd"/>
      <w:r w:rsidR="00404E5B" w:rsidRPr="00491017">
        <w:rPr>
          <w:rFonts w:asciiTheme="minorHAnsi" w:hAnsiTheme="minorHAnsi" w:cstheme="minorHAnsi"/>
          <w:color w:val="BF5A14"/>
          <w:sz w:val="22"/>
          <w:szCs w:val="22"/>
        </w:rPr>
        <w:t xml:space="preserve"> limit)</w:t>
      </w:r>
    </w:p>
    <w:p w14:paraId="045A499A" w14:textId="77777777" w:rsidR="00D61792" w:rsidRPr="00491017" w:rsidRDefault="00D61792">
      <w:pPr>
        <w:pStyle w:val="BodyText"/>
        <w:spacing w:before="90" w:line="280" w:lineRule="auto"/>
        <w:ind w:left="100"/>
        <w:jc w:val="both"/>
        <w:rPr>
          <w:rFonts w:asciiTheme="minorHAnsi" w:hAnsiTheme="minorHAnsi" w:cstheme="minorHAnsi"/>
          <w:sz w:val="22"/>
          <w:szCs w:val="22"/>
        </w:rPr>
        <w:sectPr w:rsidR="00D61792" w:rsidRPr="00491017" w:rsidSect="00D61792">
          <w:type w:val="continuous"/>
          <w:pgSz w:w="11910" w:h="16840"/>
          <w:pgMar w:top="1740" w:right="600" w:bottom="840" w:left="620" w:header="720" w:footer="720" w:gutter="0"/>
          <w:cols w:space="720"/>
        </w:sectPr>
      </w:pPr>
    </w:p>
    <w:p w14:paraId="58D06B4D" w14:textId="77777777" w:rsidR="001460BB" w:rsidRPr="00491017" w:rsidRDefault="001460BB" w:rsidP="001460BB">
      <w:pPr>
        <w:jc w:val="both"/>
        <w:rPr>
          <w:rFonts w:asciiTheme="minorHAnsi" w:hAnsiTheme="minorHAnsi" w:cstheme="minorHAnsi"/>
          <w:b/>
        </w:rPr>
      </w:pPr>
      <w:r w:rsidRPr="00491017">
        <w:rPr>
          <w:rFonts w:asciiTheme="minorHAnsi" w:hAnsiTheme="minorHAnsi" w:cstheme="minorHAnsi"/>
          <w:b/>
        </w:rPr>
        <w:t>Background</w:t>
      </w:r>
    </w:p>
    <w:p w14:paraId="017C95D1" w14:textId="6D88BC25" w:rsidR="001460BB" w:rsidRPr="00491017" w:rsidRDefault="001460BB" w:rsidP="001460BB">
      <w:pPr>
        <w:jc w:val="both"/>
        <w:rPr>
          <w:rFonts w:asciiTheme="minorHAnsi" w:hAnsiTheme="minorHAnsi" w:cstheme="minorHAnsi"/>
        </w:rPr>
      </w:pPr>
      <w:r w:rsidRPr="00491017">
        <w:rPr>
          <w:rFonts w:asciiTheme="minorHAnsi" w:hAnsiTheme="minorHAnsi" w:cstheme="minorHAnsi"/>
        </w:rPr>
        <w:t>The COVID-19 pandemic has overwhelmed the existing healthcare infrastructure in many parts of the world. Healthcare professionals are not only over-burdened but also at a high risk of nosocomial transmission from COVID-19 patients</w:t>
      </w:r>
    </w:p>
    <w:p w14:paraId="15B9F000" w14:textId="7E9B3A6A" w:rsidR="001460BB" w:rsidRPr="00491017" w:rsidRDefault="001460BB" w:rsidP="001460BB">
      <w:pPr>
        <w:jc w:val="both"/>
        <w:rPr>
          <w:rFonts w:asciiTheme="minorHAnsi" w:hAnsiTheme="minorHAnsi" w:cstheme="minorHAnsi"/>
        </w:rPr>
      </w:pPr>
      <w:r w:rsidRPr="00491017">
        <w:rPr>
          <w:rFonts w:asciiTheme="minorHAnsi" w:hAnsiTheme="minorHAnsi" w:cstheme="minorHAnsi"/>
        </w:rPr>
        <w:t>Remote monitoring of COVID-19 patients with non-serious symptoms can help reduce the burden on healthcare facilities</w:t>
      </w:r>
      <w:r w:rsidR="00491017">
        <w:rPr>
          <w:rFonts w:asciiTheme="minorHAnsi" w:hAnsiTheme="minorHAnsi" w:cstheme="minorHAnsi"/>
        </w:rPr>
        <w:t xml:space="preserve">. </w:t>
      </w:r>
      <w:r w:rsidRPr="00491017">
        <w:rPr>
          <w:rFonts w:asciiTheme="minorHAnsi" w:hAnsiTheme="minorHAnsi" w:cstheme="minorHAnsi"/>
        </w:rPr>
        <w:t xml:space="preserve">In this pandemic situation, health monitoring is getting significant consideration in the field of healthcare and as a result, it has emerged as a key area of interest in recent times. </w:t>
      </w:r>
      <w:r w:rsidRPr="00491017">
        <w:rPr>
          <w:rFonts w:asciiTheme="minorHAnsi" w:hAnsiTheme="minorHAnsi" w:cstheme="minorHAnsi"/>
          <w:b/>
        </w:rPr>
        <w:t xml:space="preserve"> </w:t>
      </w:r>
      <w:r w:rsidRPr="00491017">
        <w:rPr>
          <w:rFonts w:asciiTheme="minorHAnsi" w:hAnsiTheme="minorHAnsi" w:cstheme="minorHAnsi"/>
          <w:highlight w:val="white"/>
        </w:rPr>
        <w:t>Measurement of vital signs in hospitalized patients is necessary to assess the clinical situation of the patient. Early warning scores (EWS), such as the modified early warning score (MEWS), are generally calculated 3 times a day, but these may not capture early deterioration. Continuous monitoring with wearable devices might detect clinical deterioration at an earlier stage, which allows clinicians to take corrective actions.</w:t>
      </w:r>
    </w:p>
    <w:p w14:paraId="37A9636A" w14:textId="77777777" w:rsidR="001460BB" w:rsidRPr="00491017" w:rsidRDefault="001460BB" w:rsidP="001460BB">
      <w:pPr>
        <w:jc w:val="both"/>
        <w:rPr>
          <w:rFonts w:asciiTheme="minorHAnsi" w:hAnsiTheme="minorHAnsi" w:cstheme="minorHAnsi"/>
          <w:b/>
        </w:rPr>
      </w:pPr>
      <w:r w:rsidRPr="00491017">
        <w:rPr>
          <w:rFonts w:asciiTheme="minorHAnsi" w:hAnsiTheme="minorHAnsi" w:cstheme="minorHAnsi"/>
          <w:b/>
        </w:rPr>
        <w:t>Methodology</w:t>
      </w:r>
    </w:p>
    <w:p w14:paraId="2B5F9945" w14:textId="41338E35" w:rsidR="001460BB" w:rsidRPr="00491017" w:rsidRDefault="001460BB" w:rsidP="001460BB">
      <w:pPr>
        <w:jc w:val="both"/>
        <w:rPr>
          <w:rFonts w:asciiTheme="minorHAnsi" w:hAnsiTheme="minorHAnsi" w:cstheme="minorHAnsi"/>
          <w:b/>
          <w:highlight w:val="white"/>
        </w:rPr>
      </w:pPr>
      <w:proofErr w:type="spellStart"/>
      <w:r w:rsidRPr="00491017">
        <w:rPr>
          <w:rFonts w:asciiTheme="minorHAnsi" w:hAnsiTheme="minorHAnsi" w:cstheme="minorHAnsi"/>
          <w:highlight w:val="white"/>
        </w:rPr>
        <w:t>Ballistocardiography</w:t>
      </w:r>
      <w:proofErr w:type="spellEnd"/>
      <w:r w:rsidRPr="00491017">
        <w:rPr>
          <w:rFonts w:asciiTheme="minorHAnsi" w:hAnsiTheme="minorHAnsi" w:cstheme="minorHAnsi"/>
          <w:highlight w:val="white"/>
        </w:rPr>
        <w:t xml:space="preserve"> is a non-invasive method based on the measurement of the body motion generated by the ejection of the blood at each cardiac cycle</w:t>
      </w:r>
      <w:r w:rsidRPr="00491017">
        <w:rPr>
          <w:rFonts w:asciiTheme="minorHAnsi" w:hAnsiTheme="minorHAnsi" w:cstheme="minorHAnsi"/>
          <w:b/>
          <w:highlight w:val="white"/>
        </w:rPr>
        <w:t xml:space="preserve">. </w:t>
      </w:r>
      <w:proofErr w:type="spellStart"/>
      <w:r w:rsidRPr="00491017">
        <w:rPr>
          <w:rFonts w:asciiTheme="minorHAnsi" w:hAnsiTheme="minorHAnsi" w:cstheme="minorHAnsi"/>
          <w:b/>
          <w:highlight w:val="white"/>
        </w:rPr>
        <w:t>Dozee</w:t>
      </w:r>
      <w:proofErr w:type="spellEnd"/>
      <w:r w:rsidRPr="00491017">
        <w:rPr>
          <w:rFonts w:asciiTheme="minorHAnsi" w:hAnsiTheme="minorHAnsi" w:cstheme="minorHAnsi"/>
          <w:b/>
          <w:highlight w:val="white"/>
        </w:rPr>
        <w:t xml:space="preserve"> Early Warning System (DEWS):</w:t>
      </w:r>
      <w:r w:rsidRPr="00491017">
        <w:rPr>
          <w:rFonts w:asciiTheme="minorHAnsi" w:hAnsiTheme="minorHAnsi" w:cstheme="minorHAnsi"/>
          <w:highlight w:val="white"/>
        </w:rPr>
        <w:t xml:space="preserve"> DEWS is an overall score for risk assessment of the physiological status of a person. It is a cumulative score of risk levels of physiological parameters like HR,</w:t>
      </w:r>
      <w:r w:rsidR="00491017" w:rsidRPr="00491017">
        <w:rPr>
          <w:rFonts w:asciiTheme="minorHAnsi" w:hAnsiTheme="minorHAnsi" w:cstheme="minorHAnsi"/>
          <w:highlight w:val="white"/>
        </w:rPr>
        <w:t xml:space="preserve"> </w:t>
      </w:r>
      <w:r w:rsidRPr="00491017">
        <w:rPr>
          <w:rFonts w:asciiTheme="minorHAnsi" w:hAnsiTheme="minorHAnsi" w:cstheme="minorHAnsi"/>
          <w:highlight w:val="white"/>
        </w:rPr>
        <w:t xml:space="preserve">RR and SPo2, which acts as an early predictor for possible physiological decline.  </w:t>
      </w:r>
    </w:p>
    <w:p w14:paraId="4F40F812" w14:textId="135027C5" w:rsidR="001460BB" w:rsidRPr="00491017" w:rsidRDefault="001460BB" w:rsidP="001460BB">
      <w:pPr>
        <w:jc w:val="both"/>
        <w:rPr>
          <w:rFonts w:asciiTheme="minorHAnsi" w:hAnsiTheme="minorHAnsi" w:cstheme="minorHAnsi"/>
          <w:highlight w:val="white"/>
        </w:rPr>
      </w:pPr>
      <w:r w:rsidRPr="00491017">
        <w:rPr>
          <w:rFonts w:asciiTheme="minorHAnsi" w:hAnsiTheme="minorHAnsi" w:cstheme="minorHAnsi"/>
          <w:highlight w:val="white"/>
        </w:rPr>
        <w:t xml:space="preserve"> </w:t>
      </w:r>
      <w:r w:rsidRPr="00491017">
        <w:rPr>
          <w:rFonts w:asciiTheme="minorHAnsi" w:hAnsiTheme="minorHAnsi" w:cstheme="minorHAnsi"/>
          <w:b/>
        </w:rPr>
        <w:t>Result</w:t>
      </w:r>
    </w:p>
    <w:p w14:paraId="0A79A7AE" w14:textId="3E3C377F" w:rsidR="001460BB" w:rsidRPr="00491017" w:rsidRDefault="001460BB" w:rsidP="001460BB">
      <w:pPr>
        <w:jc w:val="both"/>
        <w:rPr>
          <w:rFonts w:asciiTheme="minorHAnsi" w:hAnsiTheme="minorHAnsi" w:cstheme="minorHAnsi"/>
        </w:rPr>
      </w:pPr>
      <w:r w:rsidRPr="00491017">
        <w:rPr>
          <w:rFonts w:asciiTheme="minorHAnsi" w:hAnsiTheme="minorHAnsi" w:cstheme="minorHAnsi"/>
        </w:rPr>
        <w:t xml:space="preserve">Total 39 subjects were observed where 24 of the subjects were Male and 15 Female and the average duration of stay at the hospital was 5 days. The outcome of 10 patients was death and 29 patients were discharged after recovery. </w:t>
      </w:r>
    </w:p>
    <w:p w14:paraId="5B2B6D39" w14:textId="77777777" w:rsidR="001460BB" w:rsidRPr="00491017" w:rsidRDefault="001460BB" w:rsidP="001460BB">
      <w:pPr>
        <w:jc w:val="both"/>
        <w:rPr>
          <w:rFonts w:asciiTheme="minorHAnsi" w:hAnsiTheme="minorHAnsi" w:cstheme="minorHAnsi"/>
          <w:b/>
        </w:rPr>
      </w:pPr>
      <w:r w:rsidRPr="00491017">
        <w:rPr>
          <w:rFonts w:asciiTheme="minorHAnsi" w:hAnsiTheme="minorHAnsi" w:cstheme="minorHAnsi"/>
          <w:b/>
        </w:rPr>
        <w:t>Conclusion</w:t>
      </w:r>
    </w:p>
    <w:p w14:paraId="170E6D00" w14:textId="34EEB320" w:rsidR="001460BB" w:rsidRPr="00491017" w:rsidRDefault="001460BB" w:rsidP="001460BB">
      <w:pPr>
        <w:jc w:val="both"/>
        <w:rPr>
          <w:rFonts w:asciiTheme="minorHAnsi" w:hAnsiTheme="minorHAnsi" w:cstheme="minorHAnsi"/>
        </w:rPr>
      </w:pPr>
      <w:r w:rsidRPr="00491017">
        <w:rPr>
          <w:rFonts w:asciiTheme="minorHAnsi" w:hAnsiTheme="minorHAnsi" w:cstheme="minorHAnsi"/>
        </w:rPr>
        <w:t xml:space="preserve">The discharged patients showed a decrease in the DEWS score, especially Breathing DEWS before they recovered. However, the expired patients showed steady increase or a stagnant high Breathing dews until time of death. </w:t>
      </w:r>
    </w:p>
    <w:p w14:paraId="4C52FA8C" w14:textId="071C03F4" w:rsidR="00AE3E37" w:rsidRDefault="008756E6">
      <w:pPr>
        <w:spacing w:line="200" w:lineRule="exact"/>
        <w:jc w:val="both"/>
        <w:rPr>
          <w:rFonts w:ascii="Calibri" w:hAnsi="Calibri"/>
        </w:rPr>
        <w:sectPr w:rsidR="00AE3E37" w:rsidSect="00D61792">
          <w:type w:val="continuous"/>
          <w:pgSz w:w="11910" w:h="16840"/>
          <w:pgMar w:top="1740" w:right="600" w:bottom="840" w:left="620" w:header="720" w:footer="720" w:gutter="0"/>
          <w:cols w:space="720"/>
        </w:sectPr>
      </w:pPr>
      <w:r>
        <w:rPr>
          <w:rFonts w:ascii="Calibri" w:hAnsi="Calibri"/>
        </w:rPr>
        <w:t xml:space="preserve"> </w:t>
      </w:r>
    </w:p>
    <w:p w14:paraId="26629817" w14:textId="77777777" w:rsidR="00AE3E37" w:rsidRDefault="00AE3E37">
      <w:pPr>
        <w:pStyle w:val="BodyText"/>
        <w:rPr>
          <w:rFonts w:ascii="Calibri"/>
          <w:sz w:val="20"/>
        </w:rPr>
      </w:pPr>
    </w:p>
    <w:p w14:paraId="2D45EDBD" w14:textId="7E523916"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r w:rsidR="00D61792" w:rsidRPr="00D61792">
        <w:rPr>
          <w:noProof/>
          <w:lang w:val="en-IN" w:eastAsia="en-IN"/>
        </w:rPr>
        <w:t xml:space="preserve"> </w:t>
      </w:r>
      <w:r w:rsidR="00491017">
        <w:rPr>
          <w:noProof/>
          <w:lang w:val="en-GB"/>
        </w:rPr>
        <w:drawing>
          <wp:inline distT="0" distB="0" distL="0" distR="0" wp14:anchorId="26F2464C" wp14:editId="36BE7F4A">
            <wp:extent cx="670560" cy="86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4897" cy="869185"/>
                    </a:xfrm>
                    <a:prstGeom prst="rect">
                      <a:avLst/>
                    </a:prstGeom>
                    <a:noFill/>
                    <a:ln>
                      <a:noFill/>
                    </a:ln>
                  </pic:spPr>
                </pic:pic>
              </a:graphicData>
            </a:graphic>
          </wp:inline>
        </w:drawing>
      </w:r>
    </w:p>
    <w:p w14:paraId="55AF1382" w14:textId="77777777" w:rsidR="00491017" w:rsidRPr="00A41107" w:rsidRDefault="00491017" w:rsidP="00491017">
      <w:pPr>
        <w:jc w:val="both"/>
        <w:rPr>
          <w:rFonts w:eastAsia="MS PGothic"/>
          <w:b/>
          <w:color w:val="000000"/>
          <w:szCs w:val="32"/>
        </w:rPr>
      </w:pPr>
      <w:r>
        <w:t xml:space="preserve">Dr Avinash </w:t>
      </w:r>
      <w:proofErr w:type="spellStart"/>
      <w:r>
        <w:t>Hanbe</w:t>
      </w:r>
      <w:proofErr w:type="spellEnd"/>
      <w:r>
        <w:t xml:space="preserve"> </w:t>
      </w:r>
      <w:proofErr w:type="spellStart"/>
      <w:r>
        <w:t>Rajanna</w:t>
      </w:r>
      <w:proofErr w:type="spellEnd"/>
      <w:r>
        <w:t xml:space="preserve"> has completed his MD internal medicine at the age of 29 years from Rajiv Gandhi university of health and sciences, </w:t>
      </w:r>
      <w:proofErr w:type="spellStart"/>
      <w:r>
        <w:t>india</w:t>
      </w:r>
      <w:proofErr w:type="spellEnd"/>
      <w:r>
        <w:t xml:space="preserve">. He is the Assistant professor in department of internal medicine, BMCRI, </w:t>
      </w:r>
      <w:proofErr w:type="spellStart"/>
      <w:r>
        <w:t>bangalore</w:t>
      </w:r>
      <w:proofErr w:type="spellEnd"/>
      <w:r>
        <w:t>. He has published more than 15 papers in reputed journals.</w:t>
      </w:r>
      <w:r>
        <w:tab/>
      </w:r>
      <w:r>
        <w:br/>
      </w:r>
    </w:p>
    <w:p w14:paraId="388C37B8" w14:textId="77777777" w:rsidR="00491017" w:rsidRPr="008A690F" w:rsidRDefault="00491017" w:rsidP="00491017">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Dr Avinash H </w:t>
      </w:r>
      <w:proofErr w:type="spellStart"/>
      <w:r>
        <w:rPr>
          <w:lang w:val="en-NZ"/>
        </w:rPr>
        <w:t>anbe</w:t>
      </w:r>
      <w:proofErr w:type="spellEnd"/>
      <w:r>
        <w:rPr>
          <w:lang w:val="en-NZ"/>
        </w:rPr>
        <w:t xml:space="preserve"> </w:t>
      </w:r>
      <w:proofErr w:type="spellStart"/>
      <w:r>
        <w:rPr>
          <w:lang w:val="en-NZ"/>
        </w:rPr>
        <w:t>Rajanna</w:t>
      </w:r>
      <w:proofErr w:type="spellEnd"/>
      <w:r w:rsidRPr="008A690F">
        <w:rPr>
          <w:lang w:val="en-NZ"/>
        </w:rPr>
        <w:br/>
        <w:t>Contact number:</w:t>
      </w:r>
      <w:r>
        <w:rPr>
          <w:lang w:val="en-NZ"/>
        </w:rPr>
        <w:t>9945335560</w:t>
      </w:r>
      <w:r w:rsidRPr="008A690F">
        <w:rPr>
          <w:lang w:val="en-NZ"/>
        </w:rPr>
        <w:br/>
        <w:t>Linked In account:</w:t>
      </w:r>
      <w:r w:rsidRPr="00E35A8E">
        <w:rPr>
          <w:rFonts w:ascii="Roboto" w:hAnsi="Roboto"/>
          <w:color w:val="202124"/>
          <w:sz w:val="33"/>
          <w:szCs w:val="33"/>
          <w:shd w:val="clear" w:color="auto" w:fill="FFFFFF"/>
        </w:rPr>
        <w:t xml:space="preserve"> </w:t>
      </w:r>
      <w:r w:rsidRPr="00E35A8E">
        <w:t>https://www.linkedin.com/in/dr-avinash-hr-a37921144</w:t>
      </w:r>
    </w:p>
    <w:p w14:paraId="76427158" w14:textId="77777777" w:rsidR="00491017" w:rsidRDefault="00491017" w:rsidP="00491017">
      <w:pPr>
        <w:autoSpaceDE w:val="0"/>
        <w:autoSpaceDN w:val="0"/>
        <w:adjustRightInd w:val="0"/>
        <w:rPr>
          <w:lang w:val="en-NZ"/>
        </w:rPr>
      </w:pPr>
      <w:r w:rsidRPr="008A690F">
        <w:rPr>
          <w:lang w:val="en-NZ"/>
        </w:rPr>
        <w:t xml:space="preserve">Session name/ </w:t>
      </w:r>
      <w:proofErr w:type="gramStart"/>
      <w:r w:rsidRPr="008A690F">
        <w:rPr>
          <w:lang w:val="en-NZ"/>
        </w:rPr>
        <w:t>number:</w:t>
      </w:r>
      <w:r>
        <w:rPr>
          <w:lang w:val="en-NZ"/>
        </w:rPr>
        <w:t>-</w:t>
      </w:r>
      <w:proofErr w:type="gramEnd"/>
      <w:r w:rsidRPr="008A690F">
        <w:rPr>
          <w:lang w:val="en-NZ"/>
        </w:rPr>
        <w:br/>
        <w:t>Category: (Oral presentation</w:t>
      </w:r>
      <w:r>
        <w:rPr>
          <w:lang w:val="en-NZ"/>
        </w:rPr>
        <w:br/>
      </w:r>
    </w:p>
    <w:p w14:paraId="59196776" w14:textId="77777777" w:rsidR="00AE3E37" w:rsidRPr="00D61792" w:rsidRDefault="00AE3E37">
      <w:pPr>
        <w:pStyle w:val="BodyText"/>
        <w:spacing w:before="3"/>
      </w:pPr>
    </w:p>
    <w:sectPr w:rsidR="00AE3E37" w:rsidRPr="00D61792" w:rsidSect="00D61792">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F2018" w14:textId="77777777" w:rsidR="00101AFD" w:rsidRDefault="00101AFD">
      <w:r>
        <w:separator/>
      </w:r>
    </w:p>
  </w:endnote>
  <w:endnote w:type="continuationSeparator" w:id="0">
    <w:p w14:paraId="42C9D7FE" w14:textId="77777777" w:rsidR="00101AFD" w:rsidRDefault="00101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Roboto">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4000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FB2F8A3" wp14:editId="0FF9917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8527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CDFDC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B2F8A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23D8527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CDFDC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44EF6B8" wp14:editId="145BE54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AA43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3D9D1E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EF6B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9DAA43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3D9D1E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477DF7D" wp14:editId="25C57A3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2A4B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EE599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77DF7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1132A4B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EE599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9419C" w14:textId="77777777" w:rsidR="00101AFD" w:rsidRDefault="00101AFD">
      <w:r>
        <w:separator/>
      </w:r>
    </w:p>
  </w:footnote>
  <w:footnote w:type="continuationSeparator" w:id="0">
    <w:p w14:paraId="3EC4FE2B" w14:textId="77777777" w:rsidR="00101AFD" w:rsidRDefault="00101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5207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96605FF" wp14:editId="6A00DDA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EDF4C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6605F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3EDF4C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E443D97" wp14:editId="5AFB8F3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1938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F6000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43D9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431938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F6000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01AFD"/>
    <w:rsid w:val="001263DF"/>
    <w:rsid w:val="001460BB"/>
    <w:rsid w:val="001D56EE"/>
    <w:rsid w:val="00214582"/>
    <w:rsid w:val="002455EC"/>
    <w:rsid w:val="00292ED9"/>
    <w:rsid w:val="00404C49"/>
    <w:rsid w:val="00404E5B"/>
    <w:rsid w:val="00414F7B"/>
    <w:rsid w:val="004355DC"/>
    <w:rsid w:val="004749B4"/>
    <w:rsid w:val="00491017"/>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87661"/>
    <w:rsid w:val="00C33602"/>
    <w:rsid w:val="00CD6F55"/>
    <w:rsid w:val="00D61792"/>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69E9E"/>
  <w15:docId w15:val="{9269FD89-A102-47AE-88D0-D99D3F103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avinash h r</cp:lastModifiedBy>
  <cp:revision>2</cp:revision>
  <dcterms:created xsi:type="dcterms:W3CDTF">2021-10-22T10:26:00Z</dcterms:created>
  <dcterms:modified xsi:type="dcterms:W3CDTF">2021-10-22T10:26:00Z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