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8C79D" w14:textId="77777777" w:rsidR="000F084B" w:rsidRPr="001B31E2" w:rsidRDefault="000F084B" w:rsidP="000F084B">
      <w:pPr>
        <w:spacing w:line="360" w:lineRule="auto"/>
        <w:contextualSpacing/>
        <w:jc w:val="both"/>
        <w:rPr>
          <w:rFonts w:ascii="Times New Roman" w:hAnsi="Times New Roman" w:cs="Times New Roman"/>
          <w:b/>
          <w:color w:val="31849B" w:themeColor="accent5" w:themeShade="BF"/>
          <w:sz w:val="24"/>
          <w:szCs w:val="24"/>
        </w:rPr>
      </w:pPr>
      <w:r w:rsidRPr="001B31E2">
        <w:rPr>
          <w:rFonts w:ascii="Times New Roman" w:hAnsi="Times New Roman" w:cs="Times New Roman"/>
          <w:b/>
          <w:color w:val="31849B" w:themeColor="accent5" w:themeShade="BF"/>
          <w:sz w:val="24"/>
          <w:szCs w:val="24"/>
        </w:rPr>
        <w:t>Preoperative and Postoperative Factors affecting 30-Day Mortality of Patients undergoing Mitral Valve Repair or Replacement in Singapore</w:t>
      </w:r>
    </w:p>
    <w:p w14:paraId="7FFEC379" w14:textId="3D4EDBC6" w:rsidR="003B2D2E" w:rsidRPr="00054356" w:rsidRDefault="00C47BF0" w:rsidP="003B2D2E">
      <w:pPr>
        <w:pStyle w:val="BodyText"/>
      </w:pPr>
      <w:r w:rsidRPr="00054356">
        <w:t>Jonathan Kia-Sheng Phua</w:t>
      </w:r>
      <w:r w:rsidRPr="00054356">
        <w:rPr>
          <w:vertAlign w:val="superscript"/>
        </w:rPr>
        <w:t>1+</w:t>
      </w:r>
      <w:r w:rsidRPr="00054356">
        <w:t>, Crystal Lim</w:t>
      </w:r>
      <w:r w:rsidRPr="00054356">
        <w:rPr>
          <w:vertAlign w:val="superscript"/>
        </w:rPr>
        <w:t>1+</w:t>
      </w:r>
      <w:r w:rsidRPr="00054356">
        <w:t>, Bowen Li</w:t>
      </w:r>
      <w:r w:rsidR="0069214F" w:rsidRPr="00054356">
        <w:rPr>
          <w:vertAlign w:val="superscript"/>
        </w:rPr>
        <w:t>2</w:t>
      </w:r>
      <w:r w:rsidRPr="00054356">
        <w:t xml:space="preserve">, </w:t>
      </w:r>
      <w:r w:rsidR="002F2C92" w:rsidRPr="00054356">
        <w:t>Siew-Pang Chan</w:t>
      </w:r>
      <w:r w:rsidR="0069214F" w:rsidRPr="00054356">
        <w:rPr>
          <w:vertAlign w:val="superscript"/>
        </w:rPr>
        <w:t>1,3</w:t>
      </w:r>
      <w:r w:rsidR="002F2C92" w:rsidRPr="00054356">
        <w:rPr>
          <w:vertAlign w:val="superscript"/>
        </w:rPr>
        <w:t>,</w:t>
      </w:r>
      <w:r w:rsidR="000814CC" w:rsidRPr="00054356">
        <w:rPr>
          <w:vertAlign w:val="superscript"/>
        </w:rPr>
        <w:t>4</w:t>
      </w:r>
      <w:r w:rsidR="002F2C92" w:rsidRPr="00054356">
        <w:t xml:space="preserve">, </w:t>
      </w:r>
      <w:r w:rsidRPr="00054356">
        <w:t>Oon-Cheong Ooi</w:t>
      </w:r>
      <w:r w:rsidR="0069214F" w:rsidRPr="00054356">
        <w:rPr>
          <w:vertAlign w:val="superscript"/>
        </w:rPr>
        <w:t>1,2</w:t>
      </w:r>
      <w:r w:rsidR="003B2D2E" w:rsidRPr="00054356">
        <w:rPr>
          <w:vertAlign w:val="superscript"/>
        </w:rPr>
        <w:t xml:space="preserve">* </w:t>
      </w:r>
    </w:p>
    <w:p w14:paraId="6B9DF94F" w14:textId="77777777" w:rsidR="003B2D2E" w:rsidRPr="00054356" w:rsidRDefault="003B2D2E" w:rsidP="003B2D2E">
      <w:pPr>
        <w:pStyle w:val="BodyText"/>
      </w:pPr>
    </w:p>
    <w:p w14:paraId="26722B62" w14:textId="77777777" w:rsidR="003B2D2E" w:rsidRPr="00054356" w:rsidRDefault="003B2D2E" w:rsidP="003B2D2E">
      <w:pPr>
        <w:pStyle w:val="BodyText"/>
      </w:pPr>
      <w:proofErr w:type="gramStart"/>
      <w:r w:rsidRPr="00054356">
        <w:t>1  Yong</w:t>
      </w:r>
      <w:proofErr w:type="gramEnd"/>
      <w:r w:rsidRPr="00054356">
        <w:t xml:space="preserve"> Loo Lin School of Medicine, National University of Singapore, Singapore </w:t>
      </w:r>
    </w:p>
    <w:p w14:paraId="0901FA98" w14:textId="6E7F29EA" w:rsidR="0069214F" w:rsidRPr="00054356" w:rsidRDefault="0069214F" w:rsidP="003B2D2E">
      <w:pPr>
        <w:pStyle w:val="BodyText"/>
      </w:pPr>
      <w:proofErr w:type="gramStart"/>
      <w:r w:rsidRPr="00054356">
        <w:t>2  Department</w:t>
      </w:r>
      <w:proofErr w:type="gramEnd"/>
      <w:r w:rsidRPr="00054356">
        <w:t xml:space="preserve"> of Cardiac, Thoracic and Vascular Surgery, National University Heart Centre, Singapore</w:t>
      </w:r>
    </w:p>
    <w:p w14:paraId="04F726CC" w14:textId="14313EC5" w:rsidR="003B2D2E" w:rsidRPr="00054356" w:rsidRDefault="0069214F" w:rsidP="003B2D2E">
      <w:pPr>
        <w:pStyle w:val="BodyText"/>
      </w:pPr>
      <w:proofErr w:type="gramStart"/>
      <w:r w:rsidRPr="00054356">
        <w:t>3</w:t>
      </w:r>
      <w:r w:rsidR="003B2D2E" w:rsidRPr="00054356">
        <w:t xml:space="preserve">  Cardiovascular</w:t>
      </w:r>
      <w:proofErr w:type="gramEnd"/>
      <w:r w:rsidR="003B2D2E" w:rsidRPr="00054356">
        <w:t xml:space="preserve"> Research Institute, National University Health System, Singapore</w:t>
      </w:r>
    </w:p>
    <w:p w14:paraId="1CDDCF1A" w14:textId="3C9FFC59" w:rsidR="0075008B" w:rsidRPr="00054356" w:rsidRDefault="000814CC" w:rsidP="003B2D2E">
      <w:pPr>
        <w:pStyle w:val="BodyText"/>
      </w:pPr>
      <w:proofErr w:type="gramStart"/>
      <w:r w:rsidRPr="00054356">
        <w:t>4</w:t>
      </w:r>
      <w:r w:rsidR="0075008B" w:rsidRPr="00054356">
        <w:t xml:space="preserve">  College</w:t>
      </w:r>
      <w:proofErr w:type="gramEnd"/>
      <w:r w:rsidR="0075008B" w:rsidRPr="00054356">
        <w:t xml:space="preserve"> of Science, Health &amp; Engineering, La Trobe University, Australia</w:t>
      </w:r>
    </w:p>
    <w:p w14:paraId="6C2F47D5" w14:textId="77777777" w:rsidR="003B2D2E" w:rsidRPr="00054356" w:rsidRDefault="00C47BF0" w:rsidP="003B2D2E">
      <w:pPr>
        <w:pStyle w:val="BodyText"/>
      </w:pPr>
      <w:r w:rsidRPr="00054356">
        <w:t>+</w:t>
      </w:r>
      <w:r w:rsidR="003B2D2E" w:rsidRPr="00054356">
        <w:t>Joint first authors</w:t>
      </w:r>
    </w:p>
    <w:p w14:paraId="6CE3A1AC" w14:textId="77777777" w:rsidR="00C47BF0" w:rsidRPr="00054356" w:rsidRDefault="00C47BF0" w:rsidP="003B2D2E">
      <w:pPr>
        <w:pStyle w:val="BodyText"/>
      </w:pPr>
      <w:r w:rsidRPr="00054356">
        <w:t>*Corresponding Author</w:t>
      </w:r>
    </w:p>
    <w:p w14:paraId="00C2D6EB" w14:textId="76959B23" w:rsidR="002740AA" w:rsidRPr="00054356" w:rsidRDefault="002740AA" w:rsidP="003B2D2E">
      <w:pPr>
        <w:pStyle w:val="BodyText"/>
        <w:rPr>
          <w:lang w:val="en-SG"/>
        </w:rPr>
      </w:pPr>
      <w:r w:rsidRPr="00054356">
        <w:rPr>
          <w:lang w:val="en-SG"/>
        </w:rPr>
        <w:t>Email: oon_cheong_ooi@nuhs.edu.sg</w:t>
      </w:r>
    </w:p>
    <w:p w14:paraId="73BE47E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5D88171" w14:textId="77777777" w:rsidR="00AE3E37" w:rsidRDefault="00C47BF0" w:rsidP="00C47BF0">
      <w:pPr>
        <w:pStyle w:val="Heading3"/>
        <w:spacing w:before="147"/>
        <w:ind w:left="0"/>
        <w:jc w:val="both"/>
      </w:pPr>
      <w:r>
        <w:rPr>
          <w:color w:val="BF5A14"/>
        </w:rPr>
        <w:t xml:space="preserve">  </w:t>
      </w:r>
      <w:r w:rsidR="00A9710C">
        <w:rPr>
          <w:color w:val="BF5A14"/>
        </w:rPr>
        <w:t>Abstract</w:t>
      </w:r>
      <w:r w:rsidR="00404E5B">
        <w:rPr>
          <w:color w:val="BF5A14"/>
        </w:rPr>
        <w:t xml:space="preserve"> (300 word limit)</w:t>
      </w:r>
    </w:p>
    <w:p w14:paraId="3DEAABE2" w14:textId="4E91E484" w:rsidR="00C47BF0" w:rsidRDefault="00C47BF0" w:rsidP="00C47BF0">
      <w:pPr>
        <w:pStyle w:val="Heading3"/>
        <w:spacing w:before="74"/>
        <w:rPr>
          <w:rFonts w:ascii="Tw Cen MT" w:eastAsia="Tw Cen MT" w:hAnsi="Tw Cen MT" w:cs="Tw Cen MT"/>
          <w:b w:val="0"/>
          <w:bCs w:val="0"/>
          <w:sz w:val="18"/>
          <w:szCs w:val="18"/>
        </w:rPr>
      </w:pPr>
      <w:r w:rsidRPr="00C47BF0">
        <w:rPr>
          <w:rFonts w:ascii="Tw Cen MT" w:eastAsia="Tw Cen MT" w:hAnsi="Tw Cen MT" w:cs="Tw Cen MT"/>
          <w:b w:val="0"/>
          <w:bCs w:val="0"/>
          <w:sz w:val="18"/>
          <w:szCs w:val="18"/>
        </w:rPr>
        <w:t>Aim:</w:t>
      </w:r>
      <w:r>
        <w:rPr>
          <w:rFonts w:ascii="Tw Cen MT" w:eastAsia="Tw Cen MT" w:hAnsi="Tw Cen MT" w:cs="Tw Cen MT"/>
          <w:b w:val="0"/>
          <w:bCs w:val="0"/>
          <w:sz w:val="18"/>
          <w:szCs w:val="18"/>
        </w:rPr>
        <w:t xml:space="preserve"> </w:t>
      </w:r>
      <w:r w:rsidR="002410E5">
        <w:rPr>
          <w:rFonts w:ascii="Tw Cen MT" w:eastAsia="Tw Cen MT" w:hAnsi="Tw Cen MT" w:cs="Tw Cen MT"/>
          <w:b w:val="0"/>
          <w:bCs w:val="0"/>
          <w:sz w:val="18"/>
          <w:szCs w:val="18"/>
        </w:rPr>
        <w:t xml:space="preserve">To use novel </w:t>
      </w:r>
      <w:r w:rsidR="001701BE">
        <w:rPr>
          <w:rFonts w:ascii="Tw Cen MT" w:eastAsia="Tw Cen MT" w:hAnsi="Tw Cen MT" w:cs="Tw Cen MT"/>
          <w:b w:val="0"/>
          <w:bCs w:val="0"/>
          <w:sz w:val="18"/>
          <w:szCs w:val="18"/>
        </w:rPr>
        <w:t>quantitative</w:t>
      </w:r>
      <w:r w:rsidR="002410E5">
        <w:rPr>
          <w:rFonts w:ascii="Tw Cen MT" w:eastAsia="Tw Cen MT" w:hAnsi="Tw Cen MT" w:cs="Tw Cen MT"/>
          <w:b w:val="0"/>
          <w:bCs w:val="0"/>
          <w:sz w:val="18"/>
          <w:szCs w:val="18"/>
        </w:rPr>
        <w:t xml:space="preserve"> methods to </w:t>
      </w:r>
      <w:r w:rsidRPr="00C47BF0">
        <w:rPr>
          <w:rFonts w:ascii="Tw Cen MT" w:eastAsia="Tw Cen MT" w:hAnsi="Tw Cen MT" w:cs="Tw Cen MT"/>
          <w:b w:val="0"/>
          <w:bCs w:val="0"/>
          <w:sz w:val="18"/>
          <w:szCs w:val="18"/>
        </w:rPr>
        <w:t>identify the preoperative and postoperative factors for predicting 30-day mortality for multiracial Asian patients undergoing mitral valve repair or replacement.</w:t>
      </w:r>
      <w:r>
        <w:rPr>
          <w:rFonts w:ascii="Tw Cen MT" w:eastAsia="Tw Cen MT" w:hAnsi="Tw Cen MT" w:cs="Tw Cen MT"/>
          <w:b w:val="0"/>
          <w:bCs w:val="0"/>
          <w:sz w:val="18"/>
          <w:szCs w:val="18"/>
        </w:rPr>
        <w:t xml:space="preserve"> </w:t>
      </w:r>
    </w:p>
    <w:p w14:paraId="6ED0E327" w14:textId="2BFF3B61" w:rsidR="00C47BF0" w:rsidRDefault="00C47BF0" w:rsidP="00C47BF0">
      <w:pPr>
        <w:pStyle w:val="Heading3"/>
        <w:spacing w:before="74"/>
        <w:rPr>
          <w:rFonts w:ascii="Tw Cen MT" w:eastAsia="Tw Cen MT" w:hAnsi="Tw Cen MT" w:cs="Tw Cen MT"/>
          <w:b w:val="0"/>
          <w:bCs w:val="0"/>
          <w:sz w:val="18"/>
          <w:szCs w:val="18"/>
        </w:rPr>
      </w:pPr>
      <w:r w:rsidRPr="00C47BF0">
        <w:rPr>
          <w:rFonts w:ascii="Tw Cen MT" w:eastAsia="Tw Cen MT" w:hAnsi="Tw Cen MT" w:cs="Tw Cen MT"/>
          <w:b w:val="0"/>
          <w:bCs w:val="0"/>
          <w:sz w:val="18"/>
          <w:szCs w:val="18"/>
        </w:rPr>
        <w:t>Methods:</w:t>
      </w:r>
      <w:r>
        <w:rPr>
          <w:rFonts w:ascii="Tw Cen MT" w:eastAsia="Tw Cen MT" w:hAnsi="Tw Cen MT" w:cs="Tw Cen MT"/>
          <w:b w:val="0"/>
          <w:bCs w:val="0"/>
          <w:sz w:val="18"/>
          <w:szCs w:val="18"/>
        </w:rPr>
        <w:t xml:space="preserve"> </w:t>
      </w:r>
      <w:r w:rsidRPr="00C47BF0">
        <w:rPr>
          <w:rFonts w:ascii="Tw Cen MT" w:eastAsia="Tw Cen MT" w:hAnsi="Tw Cen MT" w:cs="Tw Cen MT"/>
          <w:b w:val="0"/>
          <w:bCs w:val="0"/>
          <w:sz w:val="18"/>
          <w:szCs w:val="18"/>
        </w:rPr>
        <w:t>The de-identified data of 197 patients who had undergone mitral valve repair or replacement from 2009 to 2015 were analyzed with generalized structural equation model (</w:t>
      </w:r>
      <w:proofErr w:type="spellStart"/>
      <w:r w:rsidRPr="00C47BF0">
        <w:rPr>
          <w:rFonts w:ascii="Tw Cen MT" w:eastAsia="Tw Cen MT" w:hAnsi="Tw Cen MT" w:cs="Tw Cen MT"/>
          <w:b w:val="0"/>
          <w:bCs w:val="0"/>
          <w:sz w:val="18"/>
          <w:szCs w:val="18"/>
        </w:rPr>
        <w:t>gSEM</w:t>
      </w:r>
      <w:proofErr w:type="spellEnd"/>
      <w:r w:rsidRPr="00C47BF0">
        <w:rPr>
          <w:rFonts w:ascii="Tw Cen MT" w:eastAsia="Tw Cen MT" w:hAnsi="Tw Cen MT" w:cs="Tw Cen MT"/>
          <w:b w:val="0"/>
          <w:bCs w:val="0"/>
          <w:sz w:val="18"/>
          <w:szCs w:val="18"/>
        </w:rPr>
        <w:t xml:space="preserve">). The Chi-Square Automated Interaction Detector </w:t>
      </w:r>
      <w:r w:rsidR="00903116">
        <w:rPr>
          <w:rFonts w:ascii="Tw Cen MT" w:eastAsia="Tw Cen MT" w:hAnsi="Tw Cen MT" w:cs="Tw Cen MT"/>
          <w:b w:val="0"/>
          <w:bCs w:val="0"/>
          <w:sz w:val="18"/>
          <w:szCs w:val="18"/>
        </w:rPr>
        <w:t xml:space="preserve">(CHAID) </w:t>
      </w:r>
      <w:r w:rsidRPr="00C47BF0">
        <w:rPr>
          <w:rFonts w:ascii="Tw Cen MT" w:eastAsia="Tw Cen MT" w:hAnsi="Tw Cen MT" w:cs="Tw Cen MT"/>
          <w:b w:val="0"/>
          <w:bCs w:val="0"/>
          <w:sz w:val="18"/>
          <w:szCs w:val="18"/>
        </w:rPr>
        <w:t xml:space="preserve">algorithm was applied for variable-selection. </w:t>
      </w:r>
      <w:r w:rsidR="00EC40F4">
        <w:rPr>
          <w:rFonts w:ascii="Tw Cen MT" w:eastAsia="Tw Cen MT" w:hAnsi="Tw Cen MT" w:cs="Tw Cen MT"/>
          <w:b w:val="0"/>
          <w:bCs w:val="0"/>
          <w:sz w:val="18"/>
          <w:szCs w:val="18"/>
        </w:rPr>
        <w:t>Analyzed with Stata MP version 1</w:t>
      </w:r>
      <w:r w:rsidRPr="00C47BF0">
        <w:rPr>
          <w:rFonts w:ascii="Tw Cen MT" w:eastAsia="Tw Cen MT" w:hAnsi="Tw Cen MT" w:cs="Tw Cen MT"/>
          <w:b w:val="0"/>
          <w:bCs w:val="0"/>
          <w:sz w:val="18"/>
          <w:szCs w:val="18"/>
        </w:rPr>
        <w:t xml:space="preserve">4, all statistical tests were carried out with 95% confidence intervals. </w:t>
      </w:r>
    </w:p>
    <w:p w14:paraId="5EA73824" w14:textId="61B21341" w:rsidR="00C47BF0" w:rsidRDefault="00C47BF0" w:rsidP="00C47BF0">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Results: </w:t>
      </w:r>
      <w:r w:rsidRPr="00C47BF0">
        <w:rPr>
          <w:rFonts w:ascii="Tw Cen MT" w:eastAsia="Tw Cen MT" w:hAnsi="Tw Cen MT" w:cs="Tw Cen MT"/>
          <w:b w:val="0"/>
          <w:bCs w:val="0"/>
          <w:sz w:val="18"/>
          <w:szCs w:val="18"/>
        </w:rPr>
        <w:t>Female gender, BMI&gt;29 kg/m</w:t>
      </w:r>
      <w:r w:rsidRPr="00C47BF0">
        <w:rPr>
          <w:rFonts w:ascii="Tw Cen MT" w:eastAsia="Tw Cen MT" w:hAnsi="Tw Cen MT" w:cs="Tw Cen MT"/>
          <w:b w:val="0"/>
          <w:bCs w:val="0"/>
          <w:sz w:val="18"/>
          <w:szCs w:val="18"/>
          <w:vertAlign w:val="superscript"/>
        </w:rPr>
        <w:t>2</w:t>
      </w:r>
      <w:r w:rsidRPr="00C47BF0">
        <w:rPr>
          <w:rFonts w:ascii="Tw Cen MT" w:eastAsia="Tw Cen MT" w:hAnsi="Tw Cen MT" w:cs="Tw Cen MT"/>
          <w:b w:val="0"/>
          <w:bCs w:val="0"/>
          <w:sz w:val="18"/>
          <w:szCs w:val="18"/>
        </w:rPr>
        <w:t xml:space="preserve">, the need for emergency surgery and prolonged mechanical ventilation were identified as significant predictors of 30-day mortality.  Emergency surgery was also significant in explaining other postoperative outcomes such as unplanned reoperation, prolonged mechanical ventilation and prolonged intensive care. Patients who had valve replacement were more likely to suffer from postoperative complications. </w:t>
      </w:r>
      <w:r w:rsidRPr="00442485">
        <w:rPr>
          <w:rFonts w:ascii="Tw Cen MT" w:eastAsia="Tw Cen MT" w:hAnsi="Tw Cen MT" w:cs="Tw Cen MT"/>
          <w:b w:val="0"/>
          <w:bCs w:val="0"/>
          <w:sz w:val="18"/>
          <w:szCs w:val="18"/>
        </w:rPr>
        <w:t>The final model was deemed to be valid externally (AUC: 0.99; 95% C.I.: 0.98</w:t>
      </w:r>
      <w:r w:rsidR="00442485" w:rsidRPr="00442485">
        <w:rPr>
          <w:rFonts w:ascii="Tw Cen MT" w:eastAsia="Tw Cen MT" w:hAnsi="Tw Cen MT" w:cs="Tw Cen MT"/>
          <w:b w:val="0"/>
          <w:bCs w:val="0"/>
          <w:sz w:val="18"/>
          <w:szCs w:val="18"/>
        </w:rPr>
        <w:sym w:font="Symbol" w:char="F02D"/>
      </w:r>
      <w:r w:rsidRPr="00442485">
        <w:rPr>
          <w:rFonts w:ascii="Tw Cen MT" w:eastAsia="Tw Cen MT" w:hAnsi="Tw Cen MT" w:cs="Tw Cen MT"/>
          <w:b w:val="0"/>
          <w:bCs w:val="0"/>
          <w:sz w:val="18"/>
          <w:szCs w:val="18"/>
        </w:rPr>
        <w:t>1.00).</w:t>
      </w:r>
    </w:p>
    <w:p w14:paraId="3143FFA0" w14:textId="78603429" w:rsidR="00EA3E1E" w:rsidRPr="00EA3E1E" w:rsidRDefault="00C47BF0" w:rsidP="00FA2C6C">
      <w:pPr>
        <w:pStyle w:val="Heading3"/>
        <w:spacing w:before="74"/>
        <w:rPr>
          <w:rFonts w:ascii="Tw Cen MT" w:eastAsia="Tw Cen MT" w:hAnsi="Tw Cen MT" w:cs="Tw Cen MT"/>
          <w:b w:val="0"/>
          <w:bCs w:val="0"/>
          <w:sz w:val="18"/>
          <w:szCs w:val="18"/>
          <w:lang w:val="en-GB"/>
        </w:rPr>
      </w:pPr>
      <w:r w:rsidRPr="00C47BF0">
        <w:rPr>
          <w:rFonts w:ascii="Tw Cen MT" w:eastAsia="Tw Cen MT" w:hAnsi="Tw Cen MT" w:cs="Tw Cen MT"/>
          <w:b w:val="0"/>
          <w:bCs w:val="0"/>
          <w:sz w:val="18"/>
          <w:szCs w:val="18"/>
        </w:rPr>
        <w:t>Conclusion:</w:t>
      </w:r>
      <w:r>
        <w:rPr>
          <w:rFonts w:ascii="Tw Cen MT" w:eastAsia="Tw Cen MT" w:hAnsi="Tw Cen MT" w:cs="Tw Cen MT"/>
          <w:b w:val="0"/>
          <w:bCs w:val="0"/>
          <w:sz w:val="18"/>
          <w:szCs w:val="18"/>
        </w:rPr>
        <w:t xml:space="preserve"> </w:t>
      </w:r>
      <w:r w:rsidR="001906C8" w:rsidRPr="001906C8">
        <w:rPr>
          <w:rFonts w:ascii="Tw Cen MT" w:eastAsia="Tw Cen MT" w:hAnsi="Tw Cen MT" w:cs="Tw Cen MT"/>
          <w:b w:val="0"/>
          <w:bCs w:val="0"/>
          <w:sz w:val="18"/>
          <w:szCs w:val="18"/>
          <w:lang w:val="en-GB"/>
        </w:rPr>
        <w:t xml:space="preserve">The results were congruent with traditional negative prognosticators for mitral valve surgery.  The novel </w:t>
      </w:r>
      <w:r w:rsidR="001701BE">
        <w:rPr>
          <w:rFonts w:ascii="Tw Cen MT" w:eastAsia="Tw Cen MT" w:hAnsi="Tw Cen MT" w:cs="Tw Cen MT"/>
          <w:b w:val="0"/>
          <w:bCs w:val="0"/>
          <w:sz w:val="18"/>
          <w:szCs w:val="18"/>
          <w:lang w:val="en-GB"/>
        </w:rPr>
        <w:t>quantitative</w:t>
      </w:r>
      <w:r w:rsidR="001906C8" w:rsidRPr="001906C8">
        <w:rPr>
          <w:rFonts w:ascii="Tw Cen MT" w:eastAsia="Tw Cen MT" w:hAnsi="Tw Cen MT" w:cs="Tw Cen MT"/>
          <w:b w:val="0"/>
          <w:bCs w:val="0"/>
          <w:sz w:val="18"/>
          <w:szCs w:val="18"/>
          <w:lang w:val="en-GB"/>
        </w:rPr>
        <w:t xml:space="preserve"> technique</w:t>
      </w:r>
      <w:r w:rsidR="001701BE">
        <w:rPr>
          <w:rFonts w:ascii="Tw Cen MT" w:eastAsia="Tw Cen MT" w:hAnsi="Tw Cen MT" w:cs="Tw Cen MT"/>
          <w:b w:val="0"/>
          <w:bCs w:val="0"/>
          <w:sz w:val="18"/>
          <w:szCs w:val="18"/>
          <w:lang w:val="en-GB"/>
        </w:rPr>
        <w:t>s</w:t>
      </w:r>
      <w:r w:rsidR="001906C8" w:rsidRPr="001906C8">
        <w:rPr>
          <w:rFonts w:ascii="Tw Cen MT" w:eastAsia="Tw Cen MT" w:hAnsi="Tw Cen MT" w:cs="Tw Cen MT"/>
          <w:b w:val="0"/>
          <w:bCs w:val="0"/>
          <w:sz w:val="18"/>
          <w:szCs w:val="18"/>
          <w:lang w:val="en-GB"/>
        </w:rPr>
        <w:t xml:space="preserve"> </w:t>
      </w:r>
      <w:r w:rsidR="001701BE">
        <w:rPr>
          <w:rFonts w:ascii="Tw Cen MT" w:eastAsia="Tw Cen MT" w:hAnsi="Tw Cen MT" w:cs="Tw Cen MT"/>
          <w:b w:val="0"/>
          <w:bCs w:val="0"/>
          <w:sz w:val="18"/>
          <w:szCs w:val="18"/>
          <w:lang w:val="en-GB"/>
        </w:rPr>
        <w:t xml:space="preserve">are able to provide </w:t>
      </w:r>
      <w:r w:rsidR="00EA3E1E" w:rsidRPr="00EA3E1E">
        <w:rPr>
          <w:rFonts w:ascii="Tw Cen MT" w:eastAsia="Tw Cen MT" w:hAnsi="Tw Cen MT" w:cs="Tw Cen MT"/>
          <w:b w:val="0"/>
          <w:bCs w:val="0"/>
          <w:sz w:val="18"/>
          <w:szCs w:val="18"/>
          <w:lang w:val="en-GB"/>
        </w:rPr>
        <w:t>more comprehensive analysi</w:t>
      </w:r>
      <w:r w:rsidR="00EA3E1E">
        <w:rPr>
          <w:rFonts w:ascii="Tw Cen MT" w:eastAsia="Tw Cen MT" w:hAnsi="Tw Cen MT" w:cs="Tw Cen MT"/>
          <w:b w:val="0"/>
          <w:bCs w:val="0"/>
          <w:sz w:val="18"/>
          <w:szCs w:val="18"/>
          <w:lang w:val="en-GB"/>
        </w:rPr>
        <w:t>s than the conventional methods</w:t>
      </w:r>
      <w:r w:rsidR="00FA2C6C">
        <w:rPr>
          <w:rFonts w:ascii="Tw Cen MT" w:eastAsia="Tw Cen MT" w:hAnsi="Tw Cen MT" w:cs="Tw Cen MT"/>
          <w:b w:val="0"/>
          <w:bCs w:val="0"/>
          <w:sz w:val="18"/>
          <w:szCs w:val="18"/>
          <w:lang w:val="en-GB"/>
        </w:rPr>
        <w:t>.</w:t>
      </w:r>
      <w:r w:rsidR="00FA2C6C" w:rsidRPr="00FA2C6C">
        <w:t xml:space="preserve"> </w:t>
      </w:r>
      <w:r w:rsidR="00FA2C6C" w:rsidRPr="00FA2C6C">
        <w:rPr>
          <w:rFonts w:ascii="Tw Cen MT" w:eastAsia="Tw Cen MT" w:hAnsi="Tw Cen MT" w:cs="Tw Cen MT"/>
          <w:b w:val="0"/>
          <w:bCs w:val="0"/>
          <w:sz w:val="18"/>
          <w:szCs w:val="18"/>
          <w:lang w:val="en-GB"/>
        </w:rPr>
        <w:t xml:space="preserve">With its multiway splitting, </w:t>
      </w:r>
      <w:r w:rsidR="001701BE">
        <w:rPr>
          <w:rFonts w:ascii="Tw Cen MT" w:eastAsia="Tw Cen MT" w:hAnsi="Tw Cen MT" w:cs="Tw Cen MT"/>
          <w:b w:val="0"/>
          <w:bCs w:val="0"/>
          <w:sz w:val="18"/>
          <w:szCs w:val="18"/>
          <w:lang w:val="en-GB"/>
        </w:rPr>
        <w:t xml:space="preserve">the CHAID could identify </w:t>
      </w:r>
      <w:r w:rsidR="00FA2C6C" w:rsidRPr="00FA2C6C">
        <w:rPr>
          <w:rFonts w:ascii="Tw Cen MT" w:eastAsia="Tw Cen MT" w:hAnsi="Tw Cen MT" w:cs="Tw Cen MT"/>
          <w:b w:val="0"/>
          <w:bCs w:val="0"/>
          <w:sz w:val="18"/>
          <w:szCs w:val="18"/>
          <w:lang w:val="en-GB"/>
        </w:rPr>
        <w:t xml:space="preserve">meaningful cut-offs of the quantitative predictors objectively and </w:t>
      </w:r>
      <w:r w:rsidR="00054356">
        <w:rPr>
          <w:rFonts w:ascii="Tw Cen MT" w:eastAsia="Tw Cen MT" w:hAnsi="Tw Cen MT" w:cs="Tw Cen MT"/>
          <w:b w:val="0"/>
          <w:bCs w:val="0"/>
          <w:sz w:val="18"/>
          <w:szCs w:val="18"/>
          <w:lang w:val="en-GB"/>
        </w:rPr>
        <w:t>jointly</w:t>
      </w:r>
      <w:bookmarkStart w:id="0" w:name="_GoBack"/>
      <w:bookmarkEnd w:id="0"/>
      <w:r w:rsidR="00FA2C6C" w:rsidRPr="00FA2C6C">
        <w:rPr>
          <w:rFonts w:ascii="Tw Cen MT" w:eastAsia="Tw Cen MT" w:hAnsi="Tw Cen MT" w:cs="Tw Cen MT"/>
          <w:b w:val="0"/>
          <w:bCs w:val="0"/>
          <w:sz w:val="18"/>
          <w:szCs w:val="18"/>
          <w:lang w:val="en-GB"/>
        </w:rPr>
        <w:t>.</w:t>
      </w:r>
      <w:r w:rsidR="00FA2C6C">
        <w:rPr>
          <w:rFonts w:ascii="Tw Cen MT" w:eastAsia="Tw Cen MT" w:hAnsi="Tw Cen MT" w:cs="Tw Cen MT"/>
          <w:b w:val="0"/>
          <w:bCs w:val="0"/>
          <w:sz w:val="18"/>
          <w:szCs w:val="18"/>
          <w:lang w:val="en-GB"/>
        </w:rPr>
        <w:t xml:space="preserve"> </w:t>
      </w:r>
      <w:r w:rsidR="00FA2C6C" w:rsidRPr="00FA2C6C">
        <w:rPr>
          <w:rFonts w:ascii="Tw Cen MT" w:eastAsia="Tw Cen MT" w:hAnsi="Tw Cen MT" w:cs="Tw Cen MT"/>
          <w:b w:val="0"/>
          <w:bCs w:val="0"/>
          <w:sz w:val="18"/>
          <w:szCs w:val="18"/>
          <w:lang w:val="en-GB"/>
        </w:rPr>
        <w:t xml:space="preserve">On the other hand, </w:t>
      </w:r>
      <w:proofErr w:type="spellStart"/>
      <w:r w:rsidR="00FA2C6C" w:rsidRPr="00FA2C6C">
        <w:rPr>
          <w:rFonts w:ascii="Tw Cen MT" w:eastAsia="Tw Cen MT" w:hAnsi="Tw Cen MT" w:cs="Tw Cen MT"/>
          <w:b w:val="0"/>
          <w:bCs w:val="0"/>
          <w:sz w:val="18"/>
          <w:szCs w:val="18"/>
          <w:lang w:val="en-GB"/>
        </w:rPr>
        <w:t>gSEM</w:t>
      </w:r>
      <w:proofErr w:type="spellEnd"/>
      <w:r w:rsidR="00FA2C6C" w:rsidRPr="00FA2C6C">
        <w:rPr>
          <w:rFonts w:ascii="Tw Cen MT" w:eastAsia="Tw Cen MT" w:hAnsi="Tw Cen MT" w:cs="Tw Cen MT"/>
          <w:b w:val="0"/>
          <w:bCs w:val="0"/>
          <w:sz w:val="18"/>
          <w:szCs w:val="18"/>
          <w:lang w:val="en-GB"/>
        </w:rPr>
        <w:t xml:space="preserve"> is able to </w:t>
      </w:r>
      <w:proofErr w:type="spellStart"/>
      <w:r w:rsidR="00FA2C6C" w:rsidRPr="00FA2C6C">
        <w:rPr>
          <w:rFonts w:ascii="Tw Cen MT" w:eastAsia="Tw Cen MT" w:hAnsi="Tw Cen MT" w:cs="Tw Cen MT"/>
          <w:b w:val="0"/>
          <w:bCs w:val="0"/>
          <w:sz w:val="18"/>
          <w:szCs w:val="18"/>
          <w:lang w:val="en-GB"/>
        </w:rPr>
        <w:t>analyze</w:t>
      </w:r>
      <w:proofErr w:type="spellEnd"/>
      <w:r w:rsidR="00FA2C6C" w:rsidRPr="00FA2C6C">
        <w:rPr>
          <w:rFonts w:ascii="Tw Cen MT" w:eastAsia="Tw Cen MT" w:hAnsi="Tw Cen MT" w:cs="Tw Cen MT"/>
          <w:b w:val="0"/>
          <w:bCs w:val="0"/>
          <w:sz w:val="18"/>
          <w:szCs w:val="18"/>
          <w:lang w:val="en-GB"/>
        </w:rPr>
        <w:t xml:space="preserve"> the multiple outcomes in a single setting that could result in higher precision. A predictor's effect could also be divided into direct and indirect, thus providing more information about its overall effect on the outcomes.</w:t>
      </w:r>
    </w:p>
    <w:p w14:paraId="69CCD4BA" w14:textId="77777777" w:rsidR="00FA2C6C" w:rsidRDefault="001906C8" w:rsidP="00FA2C6C">
      <w:pPr>
        <w:pStyle w:val="Heading3"/>
        <w:spacing w:before="74"/>
        <w:rPr>
          <w:rFonts w:ascii="Tw Cen MT" w:eastAsia="Tw Cen MT" w:hAnsi="Tw Cen MT" w:cs="Tw Cen MT"/>
          <w:b w:val="0"/>
          <w:bCs w:val="0"/>
          <w:sz w:val="18"/>
          <w:szCs w:val="18"/>
          <w:lang w:val="en-GB"/>
        </w:rPr>
      </w:pPr>
      <w:r w:rsidRPr="001906C8">
        <w:rPr>
          <w:rFonts w:ascii="Tw Cen MT" w:eastAsia="Tw Cen MT" w:hAnsi="Tw Cen MT" w:cs="Tw Cen MT"/>
          <w:b w:val="0"/>
          <w:bCs w:val="0"/>
          <w:sz w:val="18"/>
          <w:szCs w:val="18"/>
          <w:lang w:val="en-GB"/>
        </w:rPr>
        <w:t>We have validated the use of these new statistical methods for use in future studies on identifying risk factors for medical conditions.</w:t>
      </w:r>
    </w:p>
    <w:p w14:paraId="366AA73B" w14:textId="7209C7D2" w:rsidR="00436FF7" w:rsidRPr="00FA2C6C" w:rsidRDefault="00436FF7" w:rsidP="00FA2C6C">
      <w:pPr>
        <w:pStyle w:val="Heading3"/>
        <w:spacing w:before="74"/>
        <w:rPr>
          <w:rFonts w:ascii="Tw Cen MT" w:eastAsia="Tw Cen MT" w:hAnsi="Tw Cen MT" w:cs="Tw Cen MT"/>
          <w:b w:val="0"/>
          <w:bCs w:val="0"/>
          <w:sz w:val="18"/>
          <w:szCs w:val="18"/>
          <w:lang w:val="en-GB"/>
        </w:rPr>
      </w:pPr>
      <w:r>
        <w:rPr>
          <w:color w:val="BF5A14"/>
        </w:rPr>
        <w:t>Image</w:t>
      </w:r>
    </w:p>
    <w:p w14:paraId="349E4B7D" w14:textId="04522D12" w:rsidR="00436FF7" w:rsidRPr="00C47BF0" w:rsidRDefault="00436FF7" w:rsidP="00C47BF0">
      <w:pPr>
        <w:pStyle w:val="Heading3"/>
        <w:spacing w:before="74"/>
        <w:rPr>
          <w:rFonts w:ascii="Tw Cen MT" w:eastAsia="Tw Cen MT" w:hAnsi="Tw Cen MT" w:cs="Tw Cen MT"/>
          <w:b w:val="0"/>
          <w:bCs w:val="0"/>
          <w:sz w:val="18"/>
          <w:szCs w:val="18"/>
        </w:rPr>
      </w:pPr>
      <w:r>
        <w:rPr>
          <w:noProof/>
          <w:color w:val="BF5A14"/>
          <w:lang w:eastAsia="zh-CN"/>
        </w:rPr>
        <w:drawing>
          <wp:inline distT="0" distB="0" distL="0" distR="0" wp14:anchorId="2A958D86" wp14:editId="301ADF5E">
            <wp:extent cx="2138680" cy="1677783"/>
            <wp:effectExtent l="0" t="0" r="0" b="0"/>
            <wp:docPr id="2" name="Picture 2" descr="Screen%20Shot%202017-08-20%20at%207.56.56%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7-08-20%20at%207.56.56%20P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0512" cy="1710600"/>
                    </a:xfrm>
                    <a:prstGeom prst="rect">
                      <a:avLst/>
                    </a:prstGeom>
                    <a:noFill/>
                    <a:ln>
                      <a:noFill/>
                    </a:ln>
                  </pic:spPr>
                </pic:pic>
              </a:graphicData>
            </a:graphic>
          </wp:inline>
        </w:drawing>
      </w:r>
    </w:p>
    <w:p w14:paraId="37C2D812" w14:textId="3252ED09" w:rsidR="00AE3E37" w:rsidRDefault="00A9710C">
      <w:pPr>
        <w:pStyle w:val="Heading3"/>
        <w:spacing w:before="74"/>
      </w:pPr>
      <w:r>
        <w:rPr>
          <w:b w:val="0"/>
        </w:rPr>
        <w:br w:type="column"/>
      </w:r>
      <w:r w:rsidR="00436FF7">
        <w:rPr>
          <w:b w:val="0"/>
          <w:noProof/>
          <w:lang w:eastAsia="zh-CN"/>
        </w:rPr>
        <w:drawing>
          <wp:inline distT="0" distB="0" distL="0" distR="0" wp14:anchorId="63719C30" wp14:editId="549BA3C8">
            <wp:extent cx="2863491" cy="3391032"/>
            <wp:effectExtent l="0" t="0" r="0" b="0"/>
            <wp:docPr id="3" name="Picture 3" descr="Screen%20Shot%202017-08-20%20at%207.57.1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7-08-20%20at%207.57.15%20P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2000" cy="3448477"/>
                    </a:xfrm>
                    <a:prstGeom prst="rect">
                      <a:avLst/>
                    </a:prstGeom>
                    <a:noFill/>
                    <a:ln>
                      <a:noFill/>
                    </a:ln>
                  </pic:spPr>
                </pic:pic>
              </a:graphicData>
            </a:graphic>
          </wp:inline>
        </w:drawing>
      </w:r>
    </w:p>
    <w:p w14:paraId="48E80653" w14:textId="77777777" w:rsidR="00AE3E37" w:rsidRDefault="00AE3E37">
      <w:pPr>
        <w:pStyle w:val="BodyText"/>
        <w:spacing w:before="2"/>
        <w:rPr>
          <w:rFonts w:ascii="Arial"/>
          <w:b/>
          <w:sz w:val="16"/>
        </w:rPr>
      </w:pPr>
    </w:p>
    <w:p w14:paraId="08478B8D" w14:textId="77777777" w:rsidR="005973B9" w:rsidRDefault="005973B9" w:rsidP="005973B9">
      <w:pPr>
        <w:spacing w:line="204" w:lineRule="exact"/>
        <w:rPr>
          <w:rFonts w:ascii="Arial"/>
          <w:b/>
          <w:sz w:val="20"/>
        </w:rPr>
      </w:pPr>
      <w:r>
        <w:rPr>
          <w:rFonts w:ascii="Arial"/>
          <w:b/>
          <w:color w:val="BF5A14"/>
          <w:sz w:val="20"/>
        </w:rPr>
        <w:t>Recent Publications (minimum 5)</w:t>
      </w:r>
    </w:p>
    <w:p w14:paraId="3BC15B31" w14:textId="77777777" w:rsidR="00436FF7" w:rsidRPr="00442485" w:rsidRDefault="00436FF7" w:rsidP="00436FF7">
      <w:pPr>
        <w:spacing w:line="200" w:lineRule="exact"/>
        <w:jc w:val="both"/>
        <w:rPr>
          <w:rFonts w:eastAsia="Calibri" w:cs="Calibri"/>
          <w:sz w:val="18"/>
        </w:rPr>
      </w:pPr>
      <w:r>
        <w:rPr>
          <w:rFonts w:ascii="Calibri" w:eastAsia="Calibri" w:hAnsi="Calibri" w:cs="Calibri"/>
          <w:sz w:val="18"/>
        </w:rPr>
        <w:t xml:space="preserve">1. </w:t>
      </w:r>
      <w:proofErr w:type="spellStart"/>
      <w:r w:rsidRPr="00442485">
        <w:rPr>
          <w:rFonts w:eastAsia="Calibri" w:cs="Calibri"/>
          <w:sz w:val="18"/>
        </w:rPr>
        <w:t>Manjunath</w:t>
      </w:r>
      <w:proofErr w:type="spellEnd"/>
      <w:r w:rsidRPr="00442485">
        <w:rPr>
          <w:rFonts w:eastAsia="Calibri" w:cs="Calibri"/>
          <w:sz w:val="18"/>
        </w:rPr>
        <w:t xml:space="preserve"> CN, Srinivas P, </w:t>
      </w:r>
      <w:proofErr w:type="spellStart"/>
      <w:r w:rsidRPr="00442485">
        <w:rPr>
          <w:rFonts w:eastAsia="Calibri" w:cs="Calibri"/>
          <w:sz w:val="18"/>
        </w:rPr>
        <w:t>Ravindranath</w:t>
      </w:r>
      <w:proofErr w:type="spellEnd"/>
      <w:r w:rsidRPr="00442485">
        <w:rPr>
          <w:rFonts w:eastAsia="Calibri" w:cs="Calibri"/>
          <w:sz w:val="18"/>
        </w:rPr>
        <w:t xml:space="preserve"> KS, </w:t>
      </w:r>
      <w:proofErr w:type="spellStart"/>
      <w:r w:rsidRPr="00442485">
        <w:rPr>
          <w:rFonts w:eastAsia="Calibri" w:cs="Calibri"/>
          <w:sz w:val="18"/>
        </w:rPr>
        <w:t>Dhanalakshmi</w:t>
      </w:r>
      <w:proofErr w:type="spellEnd"/>
      <w:r w:rsidRPr="00442485">
        <w:rPr>
          <w:rFonts w:eastAsia="Calibri" w:cs="Calibri"/>
          <w:sz w:val="18"/>
        </w:rPr>
        <w:t xml:space="preserve"> C. Incidence and patterns of </w:t>
      </w:r>
      <w:proofErr w:type="spellStart"/>
      <w:r w:rsidRPr="00442485">
        <w:rPr>
          <w:rFonts w:eastAsia="Calibri" w:cs="Calibri"/>
          <w:sz w:val="18"/>
        </w:rPr>
        <w:t>valvular</w:t>
      </w:r>
      <w:proofErr w:type="spellEnd"/>
      <w:r w:rsidRPr="00442485">
        <w:rPr>
          <w:rFonts w:eastAsia="Calibri" w:cs="Calibri"/>
          <w:sz w:val="18"/>
        </w:rPr>
        <w:t xml:space="preserve"> heart disease in a tertiary care high-volume cardiac center: a single center experience. Indian heart Journal. 2014; 66(3): 320-6.</w:t>
      </w:r>
    </w:p>
    <w:p w14:paraId="03D43EC5" w14:textId="77777777" w:rsidR="00436FF7" w:rsidRPr="00442485" w:rsidRDefault="00436FF7" w:rsidP="00436FF7">
      <w:pPr>
        <w:spacing w:line="200" w:lineRule="exact"/>
        <w:jc w:val="both"/>
        <w:rPr>
          <w:rFonts w:eastAsia="Calibri" w:cs="Calibri"/>
          <w:sz w:val="18"/>
        </w:rPr>
      </w:pPr>
      <w:r w:rsidRPr="00442485">
        <w:rPr>
          <w:rFonts w:eastAsia="Calibri" w:cs="Calibri"/>
          <w:sz w:val="18"/>
        </w:rPr>
        <w:t xml:space="preserve">2. </w:t>
      </w:r>
      <w:proofErr w:type="spellStart"/>
      <w:r w:rsidRPr="00442485">
        <w:rPr>
          <w:rFonts w:eastAsia="Calibri" w:cs="Calibri"/>
          <w:sz w:val="18"/>
        </w:rPr>
        <w:t>Madesis</w:t>
      </w:r>
      <w:proofErr w:type="spellEnd"/>
      <w:r w:rsidRPr="00442485">
        <w:rPr>
          <w:rFonts w:eastAsia="Calibri" w:cs="Calibri"/>
          <w:sz w:val="18"/>
        </w:rPr>
        <w:t xml:space="preserve"> A, </w:t>
      </w:r>
      <w:proofErr w:type="spellStart"/>
      <w:r w:rsidRPr="00442485">
        <w:rPr>
          <w:rFonts w:eastAsia="Calibri" w:cs="Calibri"/>
          <w:sz w:val="18"/>
        </w:rPr>
        <w:t>Tsakiridis</w:t>
      </w:r>
      <w:proofErr w:type="spellEnd"/>
      <w:r w:rsidRPr="00442485">
        <w:rPr>
          <w:rFonts w:eastAsia="Calibri" w:cs="Calibri"/>
          <w:sz w:val="18"/>
        </w:rPr>
        <w:t xml:space="preserve"> K, </w:t>
      </w:r>
      <w:proofErr w:type="spellStart"/>
      <w:r w:rsidRPr="00442485">
        <w:rPr>
          <w:rFonts w:eastAsia="Calibri" w:cs="Calibri"/>
          <w:sz w:val="18"/>
        </w:rPr>
        <w:t>Zarogoulidis</w:t>
      </w:r>
      <w:proofErr w:type="spellEnd"/>
      <w:r w:rsidRPr="00442485">
        <w:rPr>
          <w:rFonts w:eastAsia="Calibri" w:cs="Calibri"/>
          <w:sz w:val="18"/>
        </w:rPr>
        <w:t xml:space="preserve"> P, </w:t>
      </w:r>
      <w:proofErr w:type="spellStart"/>
      <w:r w:rsidRPr="00442485">
        <w:rPr>
          <w:rFonts w:eastAsia="Calibri" w:cs="Calibri"/>
          <w:sz w:val="18"/>
        </w:rPr>
        <w:t>Katsikogiannis</w:t>
      </w:r>
      <w:proofErr w:type="spellEnd"/>
      <w:r w:rsidRPr="00442485">
        <w:rPr>
          <w:rFonts w:eastAsia="Calibri" w:cs="Calibri"/>
          <w:sz w:val="18"/>
        </w:rPr>
        <w:t xml:space="preserve"> N, </w:t>
      </w:r>
      <w:proofErr w:type="spellStart"/>
      <w:r w:rsidRPr="00442485">
        <w:rPr>
          <w:rFonts w:eastAsia="Calibri" w:cs="Calibri"/>
          <w:sz w:val="18"/>
        </w:rPr>
        <w:t>Machairiotis</w:t>
      </w:r>
      <w:proofErr w:type="spellEnd"/>
      <w:r w:rsidRPr="00442485">
        <w:rPr>
          <w:rFonts w:eastAsia="Calibri" w:cs="Calibri"/>
          <w:sz w:val="18"/>
        </w:rPr>
        <w:t xml:space="preserve"> N, </w:t>
      </w:r>
      <w:proofErr w:type="spellStart"/>
      <w:r w:rsidRPr="00442485">
        <w:rPr>
          <w:rFonts w:eastAsia="Calibri" w:cs="Calibri"/>
          <w:sz w:val="18"/>
        </w:rPr>
        <w:t>Kougioumtzi</w:t>
      </w:r>
      <w:proofErr w:type="spellEnd"/>
      <w:r w:rsidRPr="00442485">
        <w:rPr>
          <w:rFonts w:eastAsia="Calibri" w:cs="Calibri"/>
          <w:sz w:val="18"/>
        </w:rPr>
        <w:t xml:space="preserve"> I, et al. Review of mitral valve insufficiency: repair or replacement. Journal of thoracic disease. 2014;6 </w:t>
      </w:r>
      <w:proofErr w:type="spellStart"/>
      <w:r w:rsidRPr="00442485">
        <w:rPr>
          <w:rFonts w:eastAsia="Calibri" w:cs="Calibri"/>
          <w:sz w:val="18"/>
        </w:rPr>
        <w:t>Suppl</w:t>
      </w:r>
      <w:proofErr w:type="spellEnd"/>
      <w:r w:rsidRPr="00442485">
        <w:rPr>
          <w:rFonts w:eastAsia="Calibri" w:cs="Calibri"/>
          <w:sz w:val="18"/>
        </w:rPr>
        <w:t xml:space="preserve"> 1: S39-51.</w:t>
      </w:r>
    </w:p>
    <w:p w14:paraId="0078C87D" w14:textId="77777777" w:rsidR="00436FF7" w:rsidRPr="00442485" w:rsidRDefault="00436FF7" w:rsidP="00436FF7">
      <w:pPr>
        <w:spacing w:line="200" w:lineRule="exact"/>
        <w:jc w:val="both"/>
        <w:rPr>
          <w:rFonts w:eastAsia="Calibri" w:cs="Calibri"/>
          <w:sz w:val="18"/>
        </w:rPr>
      </w:pPr>
      <w:r w:rsidRPr="00442485">
        <w:rPr>
          <w:rFonts w:eastAsia="Calibri" w:cs="Calibri"/>
          <w:sz w:val="18"/>
        </w:rPr>
        <w:t xml:space="preserve">3. </w:t>
      </w:r>
      <w:proofErr w:type="spellStart"/>
      <w:r w:rsidRPr="00442485">
        <w:rPr>
          <w:rFonts w:eastAsia="Calibri" w:cs="Calibri"/>
          <w:sz w:val="18"/>
        </w:rPr>
        <w:t>Iung</w:t>
      </w:r>
      <w:proofErr w:type="spellEnd"/>
      <w:r w:rsidRPr="00442485">
        <w:rPr>
          <w:rFonts w:eastAsia="Calibri" w:cs="Calibri"/>
          <w:sz w:val="18"/>
        </w:rPr>
        <w:t xml:space="preserve"> B, </w:t>
      </w:r>
      <w:proofErr w:type="spellStart"/>
      <w:r w:rsidRPr="00442485">
        <w:rPr>
          <w:rFonts w:eastAsia="Calibri" w:cs="Calibri"/>
          <w:sz w:val="18"/>
        </w:rPr>
        <w:t>Vahanian</w:t>
      </w:r>
      <w:proofErr w:type="spellEnd"/>
      <w:r w:rsidRPr="00442485">
        <w:rPr>
          <w:rFonts w:eastAsia="Calibri" w:cs="Calibri"/>
          <w:sz w:val="18"/>
        </w:rPr>
        <w:t xml:space="preserve"> A. Epidemiology of </w:t>
      </w:r>
      <w:proofErr w:type="spellStart"/>
      <w:r w:rsidRPr="00442485">
        <w:rPr>
          <w:rFonts w:eastAsia="Calibri" w:cs="Calibri"/>
          <w:sz w:val="18"/>
        </w:rPr>
        <w:t>valvular</w:t>
      </w:r>
      <w:proofErr w:type="spellEnd"/>
      <w:r w:rsidRPr="00442485">
        <w:rPr>
          <w:rFonts w:eastAsia="Calibri" w:cs="Calibri"/>
          <w:sz w:val="18"/>
        </w:rPr>
        <w:t xml:space="preserve"> heart disease in the adult. Nature reviews Cardiology. 2011; 8(3): 162-72.</w:t>
      </w:r>
    </w:p>
    <w:p w14:paraId="34B00A60" w14:textId="77777777" w:rsidR="00436FF7" w:rsidRPr="00442485" w:rsidRDefault="00436FF7" w:rsidP="00436FF7">
      <w:pPr>
        <w:spacing w:line="200" w:lineRule="exact"/>
        <w:jc w:val="both"/>
        <w:rPr>
          <w:rFonts w:eastAsia="Calibri" w:cs="Calibri"/>
          <w:sz w:val="18"/>
        </w:rPr>
      </w:pPr>
      <w:r w:rsidRPr="00442485">
        <w:rPr>
          <w:rFonts w:eastAsia="Calibri" w:cs="Calibri"/>
          <w:sz w:val="18"/>
        </w:rPr>
        <w:t xml:space="preserve">4. Acker MA, </w:t>
      </w:r>
      <w:proofErr w:type="spellStart"/>
      <w:r w:rsidRPr="00442485">
        <w:rPr>
          <w:rFonts w:eastAsia="Calibri" w:cs="Calibri"/>
          <w:sz w:val="18"/>
        </w:rPr>
        <w:t>Parides</w:t>
      </w:r>
      <w:proofErr w:type="spellEnd"/>
      <w:r w:rsidRPr="00442485">
        <w:rPr>
          <w:rFonts w:eastAsia="Calibri" w:cs="Calibri"/>
          <w:sz w:val="18"/>
        </w:rPr>
        <w:t xml:space="preserve"> MK, Perrault LP, Moskowitz AJ, </w:t>
      </w:r>
      <w:proofErr w:type="spellStart"/>
      <w:r w:rsidRPr="00442485">
        <w:rPr>
          <w:rFonts w:eastAsia="Calibri" w:cs="Calibri"/>
          <w:sz w:val="18"/>
        </w:rPr>
        <w:t>Gelijns</w:t>
      </w:r>
      <w:proofErr w:type="spellEnd"/>
      <w:r w:rsidRPr="00442485">
        <w:rPr>
          <w:rFonts w:eastAsia="Calibri" w:cs="Calibri"/>
          <w:sz w:val="18"/>
        </w:rPr>
        <w:t xml:space="preserve"> AC, </w:t>
      </w:r>
      <w:proofErr w:type="spellStart"/>
      <w:r w:rsidRPr="00442485">
        <w:rPr>
          <w:rFonts w:eastAsia="Calibri" w:cs="Calibri"/>
          <w:sz w:val="18"/>
        </w:rPr>
        <w:t>Voisine</w:t>
      </w:r>
      <w:proofErr w:type="spellEnd"/>
      <w:r w:rsidRPr="00442485">
        <w:rPr>
          <w:rFonts w:eastAsia="Calibri" w:cs="Calibri"/>
          <w:sz w:val="18"/>
        </w:rPr>
        <w:t xml:space="preserve"> P, et al. Mitral-valve repair versus replacement for severe ischemic mitral regurgitation. The New England journal of medicine. 2014; 370(1): 23-32.</w:t>
      </w:r>
    </w:p>
    <w:p w14:paraId="608AC9BC" w14:textId="77777777" w:rsidR="00436FF7" w:rsidRPr="00442485" w:rsidRDefault="00436FF7" w:rsidP="00436FF7">
      <w:pPr>
        <w:spacing w:line="200" w:lineRule="exact"/>
        <w:jc w:val="both"/>
        <w:rPr>
          <w:rFonts w:eastAsia="Calibri" w:cs="Calibri"/>
          <w:sz w:val="18"/>
        </w:rPr>
      </w:pPr>
      <w:r w:rsidRPr="00442485">
        <w:rPr>
          <w:rFonts w:eastAsia="Calibri" w:cs="Calibri"/>
          <w:sz w:val="18"/>
        </w:rPr>
        <w:t xml:space="preserve">5. </w:t>
      </w:r>
      <w:proofErr w:type="spellStart"/>
      <w:r w:rsidRPr="00442485">
        <w:rPr>
          <w:rFonts w:eastAsia="Calibri" w:cs="Calibri"/>
          <w:sz w:val="18"/>
        </w:rPr>
        <w:t>Silaschi</w:t>
      </w:r>
      <w:proofErr w:type="spellEnd"/>
      <w:r w:rsidRPr="00442485">
        <w:rPr>
          <w:rFonts w:eastAsia="Calibri" w:cs="Calibri"/>
          <w:sz w:val="18"/>
        </w:rPr>
        <w:t xml:space="preserve"> M, </w:t>
      </w:r>
      <w:proofErr w:type="spellStart"/>
      <w:r w:rsidRPr="00442485">
        <w:rPr>
          <w:rFonts w:eastAsia="Calibri" w:cs="Calibri"/>
          <w:sz w:val="18"/>
        </w:rPr>
        <w:t>Chaubey</w:t>
      </w:r>
      <w:proofErr w:type="spellEnd"/>
      <w:r w:rsidRPr="00442485">
        <w:rPr>
          <w:rFonts w:eastAsia="Calibri" w:cs="Calibri"/>
          <w:sz w:val="18"/>
        </w:rPr>
        <w:t xml:space="preserve"> S, </w:t>
      </w:r>
      <w:proofErr w:type="spellStart"/>
      <w:r w:rsidRPr="00442485">
        <w:rPr>
          <w:rFonts w:eastAsia="Calibri" w:cs="Calibri"/>
          <w:sz w:val="18"/>
        </w:rPr>
        <w:t>Aldalati</w:t>
      </w:r>
      <w:proofErr w:type="spellEnd"/>
      <w:r w:rsidRPr="00442485">
        <w:rPr>
          <w:rFonts w:eastAsia="Calibri" w:cs="Calibri"/>
          <w:sz w:val="18"/>
        </w:rPr>
        <w:t xml:space="preserve"> O, Khan H, </w:t>
      </w:r>
      <w:proofErr w:type="spellStart"/>
      <w:r w:rsidRPr="00442485">
        <w:rPr>
          <w:rFonts w:eastAsia="Calibri" w:cs="Calibri"/>
          <w:sz w:val="18"/>
        </w:rPr>
        <w:t>Uzzaman</w:t>
      </w:r>
      <w:proofErr w:type="spellEnd"/>
      <w:r w:rsidRPr="00442485">
        <w:rPr>
          <w:rFonts w:eastAsia="Calibri" w:cs="Calibri"/>
          <w:sz w:val="18"/>
        </w:rPr>
        <w:t xml:space="preserve"> MM, Singh M, et al. Is Mitral Valve Repair Superior to Mitral Valve Replacement in Elderly Patients? Comparison of Short- and Long-Term Outcomes in a Propensity-Matched Cohort. Journal of the American Heart Association. 2016; 5(8).</w:t>
      </w:r>
    </w:p>
    <w:p w14:paraId="476A13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B88F048" w14:textId="0A393311" w:rsidR="00AE3E37" w:rsidRDefault="00AE3E37">
      <w:pPr>
        <w:pStyle w:val="BodyText"/>
        <w:rPr>
          <w:rFonts w:ascii="Calibri"/>
          <w:sz w:val="20"/>
        </w:rPr>
      </w:pPr>
    </w:p>
    <w:p w14:paraId="5F76E2AE" w14:textId="77777777"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44F63E3B" wp14:editId="35BE31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A45B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EE315F5" w14:textId="41A4F892"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71D5C17" w14:textId="477B1F01" w:rsidR="00777DFD" w:rsidRDefault="00777DFD">
      <w:pPr>
        <w:pStyle w:val="BodyText"/>
        <w:spacing w:before="2"/>
        <w:rPr>
          <w:rFonts w:ascii="Calibri" w:hAnsi="Calibri"/>
          <w:sz w:val="15"/>
          <w:lang w:val="en-GB"/>
        </w:rPr>
      </w:pPr>
      <w:r>
        <w:rPr>
          <w:rFonts w:ascii="Calibri" w:hAnsi="Calibri"/>
          <w:sz w:val="15"/>
          <w:lang w:val="en-GB"/>
        </w:rPr>
        <w:t xml:space="preserve"> </w:t>
      </w:r>
      <w:r w:rsidR="002077C1">
        <w:rPr>
          <w:rFonts w:ascii="Calibri" w:hAnsi="Calibri"/>
          <w:sz w:val="15"/>
          <w:lang w:val="en-GB"/>
        </w:rPr>
        <w:t xml:space="preserve">Jonathan Phua and Crystal Lim are </w:t>
      </w:r>
      <w:r w:rsidR="00C81544">
        <w:rPr>
          <w:rFonts w:ascii="Calibri" w:hAnsi="Calibri"/>
          <w:sz w:val="15"/>
          <w:lang w:val="en-GB"/>
        </w:rPr>
        <w:t>current</w:t>
      </w:r>
      <w:r w:rsidR="002077C1">
        <w:rPr>
          <w:rFonts w:ascii="Calibri" w:hAnsi="Calibri"/>
          <w:sz w:val="15"/>
          <w:lang w:val="en-GB"/>
        </w:rPr>
        <w:t xml:space="preserve"> year 4 medical students </w:t>
      </w:r>
      <w:r w:rsidR="009C005A">
        <w:rPr>
          <w:rFonts w:ascii="Calibri" w:hAnsi="Calibri"/>
          <w:sz w:val="15"/>
          <w:lang w:val="en-GB"/>
        </w:rPr>
        <w:t>at</w:t>
      </w:r>
      <w:r w:rsidR="002077C1">
        <w:rPr>
          <w:rFonts w:ascii="Calibri" w:hAnsi="Calibri"/>
          <w:sz w:val="15"/>
          <w:lang w:val="en-GB"/>
        </w:rPr>
        <w:t xml:space="preserve"> Yong Loo Lin School of Medicine, National University of Singapore.</w:t>
      </w:r>
    </w:p>
    <w:p w14:paraId="1AC28D8D" w14:textId="081D6B9F" w:rsidR="00D854DB" w:rsidRDefault="00483295" w:rsidP="00D854DB">
      <w:pPr>
        <w:pStyle w:val="BodyText"/>
        <w:rPr>
          <w:rFonts w:ascii="Calibri" w:hAnsi="Calibri"/>
          <w:sz w:val="15"/>
          <w:lang w:val="en-GB"/>
        </w:rPr>
      </w:pPr>
      <w:r>
        <w:rPr>
          <w:rFonts w:ascii="Helvetica" w:eastAsiaTheme="minorHAnsi" w:hAnsi="Helvetica" w:cs="Helvetica"/>
          <w:noProof/>
          <w:sz w:val="24"/>
          <w:szCs w:val="24"/>
          <w:lang w:eastAsia="zh-CN"/>
        </w:rPr>
        <w:drawing>
          <wp:anchor distT="0" distB="0" distL="114300" distR="114300" simplePos="0" relativeHeight="251658240" behindDoc="0" locked="0" layoutInCell="1" allowOverlap="1" wp14:anchorId="27E6B1FE" wp14:editId="3C148A39">
            <wp:simplePos x="0" y="0"/>
            <wp:positionH relativeFrom="column">
              <wp:posOffset>37621</wp:posOffset>
            </wp:positionH>
            <wp:positionV relativeFrom="paragraph">
              <wp:posOffset>88984</wp:posOffset>
            </wp:positionV>
            <wp:extent cx="362585" cy="45339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585"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B0E69" w:rsidRPr="00CB0E69">
        <w:rPr>
          <w:rFonts w:ascii="Calibri" w:hAnsi="Calibri"/>
          <w:sz w:val="15"/>
          <w:lang w:val="en-GB"/>
        </w:rPr>
        <w:t xml:space="preserve">Assistant Professor </w:t>
      </w:r>
      <w:proofErr w:type="spellStart"/>
      <w:r w:rsidR="00CB0E69" w:rsidRPr="00CB0E69">
        <w:rPr>
          <w:rFonts w:ascii="Calibri" w:hAnsi="Calibri"/>
          <w:sz w:val="15"/>
          <w:lang w:val="en-GB"/>
        </w:rPr>
        <w:t>Ooi</w:t>
      </w:r>
      <w:proofErr w:type="spellEnd"/>
      <w:r w:rsidR="00CB0E69" w:rsidRPr="00CB0E69">
        <w:rPr>
          <w:rFonts w:ascii="Calibri" w:hAnsi="Calibri"/>
          <w:sz w:val="15"/>
          <w:lang w:val="en-GB"/>
        </w:rPr>
        <w:t xml:space="preserve"> Oon Cheong is presently a Consultant Surgeon with the Department of Cardiac, Thoracic and Vascular Surgery at National University Heart Centre, Singapore. He is also a Clinical Tutor in the Department of Surgery, Yong Loo Ling School of Medicine, National University of Singapore. In addition, he serves as a Board Member of the Chapter of Cardiothoracic Surgeons of the Academy of Medicine, Singapore.</w:t>
      </w:r>
    </w:p>
    <w:p w14:paraId="2F3C7E9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ED27314" w14:textId="77777777" w:rsidR="00AE3E37" w:rsidRPr="0044513F" w:rsidRDefault="00AE3E37">
      <w:pPr>
        <w:pStyle w:val="BodyText"/>
        <w:spacing w:before="3"/>
        <w:rPr>
          <w:rFonts w:ascii="Minion Pro"/>
          <w:sz w:val="26"/>
          <w:lang w:val="en-GB"/>
        </w:rPr>
      </w:pPr>
    </w:p>
    <w:sectPr w:rsidR="00AE3E37" w:rsidRPr="0044513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7C662" w14:textId="77777777" w:rsidR="003825EC" w:rsidRDefault="003825EC">
      <w:r>
        <w:separator/>
      </w:r>
    </w:p>
  </w:endnote>
  <w:endnote w:type="continuationSeparator" w:id="0">
    <w:p w14:paraId="08D8C7D4" w14:textId="77777777" w:rsidR="003825EC" w:rsidRDefault="0038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EA92D"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311629BE" wp14:editId="3A4C2E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E09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9D7E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629B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14AE09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9D7E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78F5BE7" wp14:editId="71C562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99E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0944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F5BE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D099E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0944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3C68F05B" wp14:editId="20D99F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789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A9D8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8F05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5E3789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A9D8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0120D" w14:textId="77777777" w:rsidR="003825EC" w:rsidRDefault="003825EC">
      <w:r>
        <w:separator/>
      </w:r>
    </w:p>
  </w:footnote>
  <w:footnote w:type="continuationSeparator" w:id="0">
    <w:p w14:paraId="73B55CAB" w14:textId="77777777" w:rsidR="003825EC" w:rsidRDefault="00382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28601" w14:textId="6EF5AD50"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4356"/>
    <w:rsid w:val="000814CC"/>
    <w:rsid w:val="000E2911"/>
    <w:rsid w:val="000F084B"/>
    <w:rsid w:val="001220E4"/>
    <w:rsid w:val="001263DF"/>
    <w:rsid w:val="001701BE"/>
    <w:rsid w:val="001906C8"/>
    <w:rsid w:val="001B31E2"/>
    <w:rsid w:val="002077C1"/>
    <w:rsid w:val="0022547E"/>
    <w:rsid w:val="002410E5"/>
    <w:rsid w:val="002740AA"/>
    <w:rsid w:val="00292ED9"/>
    <w:rsid w:val="002F2C92"/>
    <w:rsid w:val="003825EC"/>
    <w:rsid w:val="003B2D2E"/>
    <w:rsid w:val="00404E5B"/>
    <w:rsid w:val="00414F7B"/>
    <w:rsid w:val="004355DC"/>
    <w:rsid w:val="00436FF7"/>
    <w:rsid w:val="00442485"/>
    <w:rsid w:val="0044513F"/>
    <w:rsid w:val="00473742"/>
    <w:rsid w:val="004749B4"/>
    <w:rsid w:val="00483295"/>
    <w:rsid w:val="00494130"/>
    <w:rsid w:val="004D2C50"/>
    <w:rsid w:val="004E11F6"/>
    <w:rsid w:val="004F3523"/>
    <w:rsid w:val="005973B9"/>
    <w:rsid w:val="005B3A56"/>
    <w:rsid w:val="006060CE"/>
    <w:rsid w:val="0063497F"/>
    <w:rsid w:val="00671A0D"/>
    <w:rsid w:val="00677C8D"/>
    <w:rsid w:val="0069214F"/>
    <w:rsid w:val="006C2466"/>
    <w:rsid w:val="0075008B"/>
    <w:rsid w:val="00777DFD"/>
    <w:rsid w:val="0079063B"/>
    <w:rsid w:val="007D1E8D"/>
    <w:rsid w:val="00873DF0"/>
    <w:rsid w:val="008756E6"/>
    <w:rsid w:val="009022D0"/>
    <w:rsid w:val="00903116"/>
    <w:rsid w:val="00955724"/>
    <w:rsid w:val="009B2D44"/>
    <w:rsid w:val="009C005A"/>
    <w:rsid w:val="00A07E82"/>
    <w:rsid w:val="00A50A9F"/>
    <w:rsid w:val="00A66584"/>
    <w:rsid w:val="00A9710C"/>
    <w:rsid w:val="00A97241"/>
    <w:rsid w:val="00AE3E37"/>
    <w:rsid w:val="00B21A57"/>
    <w:rsid w:val="00B41E91"/>
    <w:rsid w:val="00C12B87"/>
    <w:rsid w:val="00C33602"/>
    <w:rsid w:val="00C47BF0"/>
    <w:rsid w:val="00C75EA3"/>
    <w:rsid w:val="00C81544"/>
    <w:rsid w:val="00CB0E69"/>
    <w:rsid w:val="00CB2B4B"/>
    <w:rsid w:val="00CD189A"/>
    <w:rsid w:val="00CD27E2"/>
    <w:rsid w:val="00CD6F55"/>
    <w:rsid w:val="00D70AC0"/>
    <w:rsid w:val="00D854DB"/>
    <w:rsid w:val="00DE3104"/>
    <w:rsid w:val="00E22F07"/>
    <w:rsid w:val="00E52E91"/>
    <w:rsid w:val="00EA3E1E"/>
    <w:rsid w:val="00EB0B95"/>
    <w:rsid w:val="00EC1DAE"/>
    <w:rsid w:val="00EC40F4"/>
    <w:rsid w:val="00EF3030"/>
    <w:rsid w:val="00F043F8"/>
    <w:rsid w:val="00F161DD"/>
    <w:rsid w:val="00F72EEA"/>
    <w:rsid w:val="00F84CAE"/>
    <w:rsid w:val="00F94E77"/>
    <w:rsid w:val="00FA2C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FD6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9605360">
      <w:bodyDiv w:val="1"/>
      <w:marLeft w:val="0"/>
      <w:marRight w:val="0"/>
      <w:marTop w:val="0"/>
      <w:marBottom w:val="0"/>
      <w:divBdr>
        <w:top w:val="none" w:sz="0" w:space="0" w:color="auto"/>
        <w:left w:val="none" w:sz="0" w:space="0" w:color="auto"/>
        <w:bottom w:val="none" w:sz="0" w:space="0" w:color="auto"/>
        <w:right w:val="none" w:sz="0" w:space="0" w:color="auto"/>
      </w:divBdr>
    </w:div>
    <w:div w:id="983974800">
      <w:bodyDiv w:val="1"/>
      <w:marLeft w:val="0"/>
      <w:marRight w:val="0"/>
      <w:marTop w:val="0"/>
      <w:marBottom w:val="0"/>
      <w:divBdr>
        <w:top w:val="none" w:sz="0" w:space="0" w:color="auto"/>
        <w:left w:val="none" w:sz="0" w:space="0" w:color="auto"/>
        <w:bottom w:val="none" w:sz="0" w:space="0" w:color="auto"/>
        <w:right w:val="none" w:sz="0" w:space="0" w:color="auto"/>
      </w:divBdr>
    </w:div>
    <w:div w:id="1006134616">
      <w:bodyDiv w:val="1"/>
      <w:marLeft w:val="0"/>
      <w:marRight w:val="0"/>
      <w:marTop w:val="0"/>
      <w:marBottom w:val="0"/>
      <w:divBdr>
        <w:top w:val="none" w:sz="0" w:space="0" w:color="auto"/>
        <w:left w:val="none" w:sz="0" w:space="0" w:color="auto"/>
        <w:bottom w:val="none" w:sz="0" w:space="0" w:color="auto"/>
        <w:right w:val="none" w:sz="0" w:space="0" w:color="auto"/>
      </w:divBdr>
    </w:div>
    <w:div w:id="1021711128">
      <w:bodyDiv w:val="1"/>
      <w:marLeft w:val="0"/>
      <w:marRight w:val="0"/>
      <w:marTop w:val="0"/>
      <w:marBottom w:val="0"/>
      <w:divBdr>
        <w:top w:val="none" w:sz="0" w:space="0" w:color="auto"/>
        <w:left w:val="none" w:sz="0" w:space="0" w:color="auto"/>
        <w:bottom w:val="none" w:sz="0" w:space="0" w:color="auto"/>
        <w:right w:val="none" w:sz="0" w:space="0" w:color="auto"/>
      </w:divBdr>
    </w:div>
    <w:div w:id="1077287352">
      <w:bodyDiv w:val="1"/>
      <w:marLeft w:val="0"/>
      <w:marRight w:val="0"/>
      <w:marTop w:val="0"/>
      <w:marBottom w:val="0"/>
      <w:divBdr>
        <w:top w:val="none" w:sz="0" w:space="0" w:color="auto"/>
        <w:left w:val="none" w:sz="0" w:space="0" w:color="auto"/>
        <w:bottom w:val="none" w:sz="0" w:space="0" w:color="auto"/>
        <w:right w:val="none" w:sz="0" w:space="0" w:color="auto"/>
      </w:divBdr>
    </w:div>
    <w:div w:id="1152605294">
      <w:bodyDiv w:val="1"/>
      <w:marLeft w:val="0"/>
      <w:marRight w:val="0"/>
      <w:marTop w:val="0"/>
      <w:marBottom w:val="0"/>
      <w:divBdr>
        <w:top w:val="none" w:sz="0" w:space="0" w:color="auto"/>
        <w:left w:val="none" w:sz="0" w:space="0" w:color="auto"/>
        <w:bottom w:val="none" w:sz="0" w:space="0" w:color="auto"/>
        <w:right w:val="none" w:sz="0" w:space="0" w:color="auto"/>
      </w:divBdr>
    </w:div>
    <w:div w:id="129953372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3538406">
      <w:bodyDiv w:val="1"/>
      <w:marLeft w:val="0"/>
      <w:marRight w:val="0"/>
      <w:marTop w:val="0"/>
      <w:marBottom w:val="0"/>
      <w:divBdr>
        <w:top w:val="none" w:sz="0" w:space="0" w:color="auto"/>
        <w:left w:val="none" w:sz="0" w:space="0" w:color="auto"/>
        <w:bottom w:val="none" w:sz="0" w:space="0" w:color="auto"/>
        <w:right w:val="none" w:sz="0" w:space="0" w:color="auto"/>
      </w:divBdr>
    </w:div>
    <w:div w:id="2088265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Chan Siew Pang</cp:lastModifiedBy>
  <cp:revision>3</cp:revision>
  <dcterms:created xsi:type="dcterms:W3CDTF">2017-08-28T08:15:00Z</dcterms:created>
  <dcterms:modified xsi:type="dcterms:W3CDTF">2017-08-28T08:20:00Z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