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1C4" w:rsidRPr="00C73B7E" w:rsidRDefault="00FB71C4" w:rsidP="00FB71C4">
      <w:pPr>
        <w:rPr>
          <w:b/>
          <w:sz w:val="36"/>
        </w:rPr>
      </w:pPr>
      <w:r w:rsidRPr="00C73B7E">
        <w:rPr>
          <w:b/>
          <w:sz w:val="36"/>
        </w:rPr>
        <w:t>Trends in Acute Myocardial Infarction Among Patients 18 to 45 Years Old Admitted at Makati Medical Center fro</w:t>
      </w:r>
      <w:bookmarkStart w:id="0" w:name="_GoBack"/>
      <w:bookmarkEnd w:id="0"/>
      <w:r w:rsidRPr="00C73B7E">
        <w:rPr>
          <w:b/>
          <w:sz w:val="36"/>
        </w:rPr>
        <w:t>m 2010 to 2014</w:t>
      </w:r>
    </w:p>
    <w:p w:rsidR="00FB71C4" w:rsidRPr="00C73B7E" w:rsidRDefault="00B927AE" w:rsidP="00FB71C4">
      <w:pPr>
        <w:rPr>
          <w:sz w:val="36"/>
        </w:rPr>
      </w:pPr>
      <w:r>
        <w:rPr>
          <w:sz w:val="36"/>
        </w:rPr>
        <w:t>Maria Stephanie Alessa R. Sales</w:t>
      </w:r>
      <w:r w:rsidR="00FB71C4" w:rsidRPr="00C73B7E">
        <w:rPr>
          <w:sz w:val="36"/>
        </w:rPr>
        <w:t>, MD; Juan Dionisio Foronda, MD</w:t>
      </w:r>
    </w:p>
    <w:p w:rsidR="00FB71C4" w:rsidRDefault="00B927AE" w:rsidP="00FB71C4">
      <w:pPr>
        <w:rPr>
          <w:b/>
        </w:rPr>
      </w:pPr>
      <w:r w:rsidRPr="00B927AE">
        <w:rPr>
          <w:b/>
          <w:noProof/>
          <w:sz w:val="18"/>
          <w:szCs w:val="18"/>
        </w:rPr>
        <mc:AlternateContent>
          <mc:Choice Requires="wps">
            <w:drawing>
              <wp:anchor distT="45720" distB="45720" distL="114300" distR="114300" simplePos="0" relativeHeight="251659264" behindDoc="0" locked="0" layoutInCell="1" allowOverlap="1">
                <wp:simplePos x="0" y="0"/>
                <wp:positionH relativeFrom="column">
                  <wp:posOffset>-28575</wp:posOffset>
                </wp:positionH>
                <wp:positionV relativeFrom="paragraph">
                  <wp:posOffset>191770</wp:posOffset>
                </wp:positionV>
                <wp:extent cx="3714750" cy="140462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404620"/>
                        </a:xfrm>
                        <a:prstGeom prst="rect">
                          <a:avLst/>
                        </a:prstGeom>
                        <a:solidFill>
                          <a:srgbClr val="FFFFFF"/>
                        </a:solidFill>
                        <a:ln w="9525">
                          <a:solidFill>
                            <a:srgbClr val="000000"/>
                          </a:solidFill>
                          <a:miter lim="800000"/>
                          <a:headEnd/>
                          <a:tailEnd/>
                        </a:ln>
                      </wps:spPr>
                      <wps:txbx>
                        <w:txbxContent>
                          <w:p w:rsidR="00B927AE" w:rsidRPr="00B927AE" w:rsidRDefault="00B927AE" w:rsidP="00B927AE">
                            <w:pPr>
                              <w:rPr>
                                <w:b/>
                                <w:sz w:val="18"/>
                                <w:szCs w:val="18"/>
                              </w:rPr>
                            </w:pPr>
                            <w:r w:rsidRPr="00B927AE">
                              <w:rPr>
                                <w:b/>
                                <w:sz w:val="18"/>
                                <w:szCs w:val="18"/>
                              </w:rPr>
                              <w:t xml:space="preserve">Background: </w:t>
                            </w:r>
                            <w:r w:rsidRPr="00B927AE">
                              <w:rPr>
                                <w:sz w:val="18"/>
                                <w:szCs w:val="18"/>
                              </w:rPr>
                              <w:t xml:space="preserve">Although AMI mostly occurs in persons older than 45 years of age, young adults are an important group to examine </w:t>
                            </w:r>
                            <w:proofErr w:type="gramStart"/>
                            <w:r w:rsidRPr="00B927AE">
                              <w:rPr>
                                <w:sz w:val="18"/>
                                <w:szCs w:val="18"/>
                              </w:rPr>
                              <w:t>for the purpose of</w:t>
                            </w:r>
                            <w:proofErr w:type="gramEnd"/>
                            <w:r w:rsidRPr="00B927AE">
                              <w:rPr>
                                <w:sz w:val="18"/>
                                <w:szCs w:val="18"/>
                              </w:rPr>
                              <w:t xml:space="preserve"> risk factor modification and secondary prevention.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Objectives: </w:t>
                            </w:r>
                            <w:r w:rsidRPr="00B927AE">
                              <w:rPr>
                                <w:sz w:val="18"/>
                                <w:szCs w:val="18"/>
                              </w:rPr>
                              <w:t>This study primarily sought to determine the prevalence, clinical features and in-hospital outcomes of young patients with acute myocardial infarction in Makati Medical Center during the period of surveillance.</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Methods: </w:t>
                            </w:r>
                            <w:r w:rsidRPr="00B927AE">
                              <w:rPr>
                                <w:sz w:val="18"/>
                                <w:szCs w:val="18"/>
                              </w:rPr>
                              <w:t xml:space="preserve">This is a single-center five-year retrospective cross-sectional chart review wherein the Makati Medical Center Cardiac Catheterization Laboratory Census from January 2010 to December 2014 was utilized. All adult patients, more than 18 years but less than 45 years of age, admitted for acute myocardial infarction who underwent coronary angiography </w:t>
                            </w:r>
                            <w:proofErr w:type="gramStart"/>
                            <w:r w:rsidRPr="00B927AE">
                              <w:rPr>
                                <w:sz w:val="18"/>
                                <w:szCs w:val="18"/>
                              </w:rPr>
                              <w:t>were</w:t>
                            </w:r>
                            <w:proofErr w:type="gramEnd"/>
                            <w:r w:rsidRPr="00B927AE">
                              <w:rPr>
                                <w:sz w:val="18"/>
                                <w:szCs w:val="18"/>
                              </w:rPr>
                              <w:t xml:space="preserve"> be eligible for inclusion.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Results: </w:t>
                            </w:r>
                            <w:r w:rsidRPr="00B927AE">
                              <w:rPr>
                                <w:sz w:val="18"/>
                                <w:szCs w:val="18"/>
                              </w:rPr>
                              <w:t>The final study sample consisted of 94 patients. Males represented majority of young patients hospitalized with acute myocardial infarction (males, 85.1%; females, 14.9%). The mean age of the patients was 39 years old. Among the co-morbidities presented, dyslipidemia was the most prevalent (66%), with 41.5% being newly-diagnosed. Majority of the patients were obese (62.6%), with the mean BMI at 27.32 (Obese Class I). Smoking (45.7%) and hypertension (50%) were other major risk factors. ST elevation was present in 50 (53%) of the patients. Single vessel disease was most frequent, with the left anterior descending artery (54.3%) most commonly affected. Percutaneous coronary intervention was performed in 64% of the patients. All-cause mortality was seen in only 2.1% of the study population.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Conclusion: </w:t>
                            </w:r>
                            <w:r w:rsidRPr="00B927AE">
                              <w:rPr>
                                <w:sz w:val="18"/>
                                <w:szCs w:val="18"/>
                              </w:rPr>
                              <w:t>Myocardial infarction in 45 years of age and less is almost exclusively seen in male. Dyslipidemia, obesity, and smoking are major risk factors. STEMI is the main presentation. Single vessel disease is more frequent, with PCI as the main revascularization strategy utilized. In-hospital mortality is low.</w:t>
                            </w:r>
                          </w:p>
                          <w:p w:rsidR="00B927AE" w:rsidRPr="00B927AE" w:rsidRDefault="00B927AE">
                            <w:pPr>
                              <w:rPr>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pt;margin-top:15.1pt;width:29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">
                <v:textbox style="mso-fit-shape-to-text:t">
                  <w:txbxContent>
                    <w:p w:rsidR="00B927AE" w:rsidRPr="00B927AE" w:rsidRDefault="00B927AE" w:rsidP="00B927AE">
                      <w:pPr>
                        <w:rPr>
                          <w:b/>
                          <w:sz w:val="18"/>
                          <w:szCs w:val="18"/>
                        </w:rPr>
                      </w:pPr>
                      <w:r w:rsidRPr="00B927AE">
                        <w:rPr>
                          <w:b/>
                          <w:sz w:val="18"/>
                          <w:szCs w:val="18"/>
                        </w:rPr>
                        <w:t xml:space="preserve">Background: </w:t>
                      </w:r>
                      <w:r w:rsidRPr="00B927AE">
                        <w:rPr>
                          <w:sz w:val="18"/>
                          <w:szCs w:val="18"/>
                        </w:rPr>
                        <w:t xml:space="preserve">Although AMI mostly occurs in persons older than 45 years of age, young adults are an important group to examine </w:t>
                      </w:r>
                      <w:proofErr w:type="gramStart"/>
                      <w:r w:rsidRPr="00B927AE">
                        <w:rPr>
                          <w:sz w:val="18"/>
                          <w:szCs w:val="18"/>
                        </w:rPr>
                        <w:t>for the purpose of</w:t>
                      </w:r>
                      <w:proofErr w:type="gramEnd"/>
                      <w:r w:rsidRPr="00B927AE">
                        <w:rPr>
                          <w:sz w:val="18"/>
                          <w:szCs w:val="18"/>
                        </w:rPr>
                        <w:t xml:space="preserve"> risk factor modification and secondary prevention.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Objectives: </w:t>
                      </w:r>
                      <w:r w:rsidRPr="00B927AE">
                        <w:rPr>
                          <w:sz w:val="18"/>
                          <w:szCs w:val="18"/>
                        </w:rPr>
                        <w:t>This study primarily sought to determine the prevalence, clinical features and in-hospital outcomes of young patients with acute myocardial infarction in Makati Medical Center during the period of surveillance.</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Methods: </w:t>
                      </w:r>
                      <w:r w:rsidRPr="00B927AE">
                        <w:rPr>
                          <w:sz w:val="18"/>
                          <w:szCs w:val="18"/>
                        </w:rPr>
                        <w:t xml:space="preserve">This is a single-center five-year retrospective cross-sectional chart review wherein the Makati Medical Center Cardiac Catheterization Laboratory Census from January 2010 to December 2014 was utilized. All adult patients, more than 18 years but less than 45 years of age, admitted for acute myocardial infarction who underwent coronary angiography </w:t>
                      </w:r>
                      <w:proofErr w:type="gramStart"/>
                      <w:r w:rsidRPr="00B927AE">
                        <w:rPr>
                          <w:sz w:val="18"/>
                          <w:szCs w:val="18"/>
                        </w:rPr>
                        <w:t>were</w:t>
                      </w:r>
                      <w:proofErr w:type="gramEnd"/>
                      <w:r w:rsidRPr="00B927AE">
                        <w:rPr>
                          <w:sz w:val="18"/>
                          <w:szCs w:val="18"/>
                        </w:rPr>
                        <w:t xml:space="preserve"> be eligible for inclusion.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Results: </w:t>
                      </w:r>
                      <w:r w:rsidRPr="00B927AE">
                        <w:rPr>
                          <w:sz w:val="18"/>
                          <w:szCs w:val="18"/>
                        </w:rPr>
                        <w:t>The final study sample consisted of 94 patients. Males represented majority of young patients hospitalized with acute myocardial infarction (males, 85.1%; females, 14.9%). The mean age of the patients was 39 years old. Among the co-morbidities presented, dyslipidemia was the most prevalent (66%), with 41.5% being newly-diagnosed. Majority of the patients were obese (62.6%), with the mean BMI at 27.32 (Obese Class I). Smoking (45.7%) and hypertension (50%) were other major risk factors. ST elevation was present in 50 (53%) of the patients. Single vessel disease was most frequent, with the left anterior descending artery (54.3%) most commonly affected. Percutaneous coronary intervention was performed in 64% of the patients. All-cause mortality was seen in only 2.1% of the study population.</w:t>
                      </w:r>
                    </w:p>
                    <w:p w:rsidR="00B927AE" w:rsidRPr="00B927AE" w:rsidRDefault="00B927AE" w:rsidP="00B927AE">
                      <w:pPr>
                        <w:rPr>
                          <w:b/>
                          <w:sz w:val="18"/>
                          <w:szCs w:val="18"/>
                        </w:rPr>
                      </w:pPr>
                    </w:p>
                    <w:p w:rsidR="00B927AE" w:rsidRPr="00B927AE" w:rsidRDefault="00B927AE" w:rsidP="00B927AE">
                      <w:pPr>
                        <w:rPr>
                          <w:b/>
                          <w:sz w:val="18"/>
                          <w:szCs w:val="18"/>
                        </w:rPr>
                      </w:pPr>
                      <w:r w:rsidRPr="00B927AE">
                        <w:rPr>
                          <w:b/>
                          <w:sz w:val="18"/>
                          <w:szCs w:val="18"/>
                        </w:rPr>
                        <w:t xml:space="preserve">Conclusion: </w:t>
                      </w:r>
                      <w:r w:rsidRPr="00B927AE">
                        <w:rPr>
                          <w:sz w:val="18"/>
                          <w:szCs w:val="18"/>
                        </w:rPr>
                        <w:t>Myocardial infarction in 45 years of age and less is almost exclusively seen in male. Dyslipidemia, obesity, and smoking are major risk factors. STEMI is the main presentation. Single vessel disease is more frequent, with PCI as the main revascularization strategy utilized. In-hospital mortality is low.</w:t>
                      </w:r>
                    </w:p>
                    <w:p w:rsidR="00B927AE" w:rsidRPr="00B927AE" w:rsidRDefault="00B927AE">
                      <w:pPr>
                        <w:rPr>
                          <w:sz w:val="18"/>
                          <w:szCs w:val="18"/>
                        </w:rPr>
                      </w:pPr>
                    </w:p>
                  </w:txbxContent>
                </v:textbox>
                <w10:wrap type="square"/>
              </v:shape>
            </w:pict>
          </mc:Fallback>
        </mc:AlternateContent>
      </w:r>
    </w:p>
    <w:p w:rsidR="00C73B7E" w:rsidRPr="00B927AE" w:rsidRDefault="00C73B7E" w:rsidP="00FB71C4">
      <w:pPr>
        <w:rPr>
          <w:rFonts w:ascii="Calibri" w:hAnsi="Calibri" w:cs="Calibri"/>
          <w:b/>
          <w:sz w:val="18"/>
          <w:szCs w:val="18"/>
        </w:rPr>
      </w:pPr>
      <w:r w:rsidRPr="00B927AE">
        <w:rPr>
          <w:rFonts w:ascii="Calibri" w:hAnsi="Calibri" w:cs="Calibri"/>
          <w:b/>
          <w:sz w:val="18"/>
          <w:szCs w:val="18"/>
        </w:rPr>
        <w:t>Recent Publications:</w:t>
      </w:r>
    </w:p>
    <w:p w:rsidR="00C73B7E" w:rsidRPr="00C73B7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1</w:t>
      </w:r>
      <w:r w:rsidRPr="00C73B7E">
        <w:rPr>
          <w:rFonts w:ascii="Calibri" w:eastAsia="Calibri" w:hAnsi="Calibri" w:cs="Calibri"/>
          <w:sz w:val="18"/>
          <w:szCs w:val="18"/>
        </w:rPr>
        <w:t xml:space="preserve"> Gupta, A et al. Trends in acute myocardial infarction in young patients and differences by sex and race, 2001 to 2010. JACC 2014 64:337-45.</w:t>
      </w:r>
    </w:p>
    <w:p w:rsidR="00C73B7E" w:rsidRPr="00C73B7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2</w:t>
      </w:r>
      <w:r w:rsidRPr="00C73B7E">
        <w:rPr>
          <w:rFonts w:ascii="Calibri" w:eastAsia="Calibri" w:hAnsi="Calibri" w:cs="Calibri"/>
          <w:sz w:val="18"/>
          <w:szCs w:val="18"/>
        </w:rPr>
        <w:t xml:space="preserve"> Wong CP et al. Myocardial infarction in young adults. World J </w:t>
      </w:r>
      <w:proofErr w:type="spellStart"/>
      <w:r w:rsidRPr="00C73B7E">
        <w:rPr>
          <w:rFonts w:ascii="Calibri" w:eastAsia="Calibri" w:hAnsi="Calibri" w:cs="Calibri"/>
          <w:sz w:val="18"/>
          <w:szCs w:val="18"/>
        </w:rPr>
        <w:t>Cardiol</w:t>
      </w:r>
      <w:proofErr w:type="spellEnd"/>
      <w:r w:rsidRPr="00C73B7E">
        <w:rPr>
          <w:rFonts w:ascii="Calibri" w:eastAsia="Calibri" w:hAnsi="Calibri" w:cs="Calibri"/>
          <w:sz w:val="18"/>
          <w:szCs w:val="18"/>
        </w:rPr>
        <w:t xml:space="preserve"> 2012 June 26; 4(6): 206-210</w:t>
      </w:r>
    </w:p>
    <w:p w:rsidR="00C73B7E" w:rsidRPr="00C73B7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3</w:t>
      </w:r>
      <w:r w:rsidRPr="00C73B7E">
        <w:rPr>
          <w:rFonts w:ascii="Calibri" w:eastAsia="Calibri" w:hAnsi="Calibri" w:cs="Calibri"/>
          <w:sz w:val="18"/>
          <w:szCs w:val="18"/>
        </w:rPr>
        <w:t xml:space="preserve"> Bhardwaj, R, </w:t>
      </w:r>
      <w:proofErr w:type="spellStart"/>
      <w:r w:rsidRPr="00C73B7E">
        <w:rPr>
          <w:rFonts w:ascii="Calibri" w:eastAsia="Calibri" w:hAnsi="Calibri" w:cs="Calibri"/>
          <w:sz w:val="18"/>
          <w:szCs w:val="18"/>
        </w:rPr>
        <w:t>Kandoria</w:t>
      </w:r>
      <w:proofErr w:type="spellEnd"/>
      <w:r w:rsidRPr="00C73B7E">
        <w:rPr>
          <w:rFonts w:ascii="Calibri" w:eastAsia="Calibri" w:hAnsi="Calibri" w:cs="Calibri"/>
          <w:sz w:val="18"/>
          <w:szCs w:val="18"/>
        </w:rPr>
        <w:t>, A, Sharma, R. Myocardial infarction in you</w:t>
      </w:r>
      <w:r w:rsidRPr="00B927AE">
        <w:rPr>
          <w:rFonts w:ascii="Calibri" w:eastAsia="Calibri" w:hAnsi="Calibri" w:cs="Calibri"/>
          <w:sz w:val="18"/>
          <w:szCs w:val="18"/>
        </w:rPr>
        <w:t>n</w:t>
      </w:r>
      <w:r w:rsidRPr="00C73B7E">
        <w:rPr>
          <w:rFonts w:ascii="Calibri" w:eastAsia="Calibri" w:hAnsi="Calibri" w:cs="Calibri"/>
          <w:sz w:val="18"/>
          <w:szCs w:val="18"/>
        </w:rPr>
        <w:t>g adults - risk factors and pattern of coronary involvement. Nigerian Medical Journal 2014; 55(1)44-47.</w:t>
      </w:r>
    </w:p>
    <w:p w:rsidR="00C73B7E" w:rsidRPr="00C73B7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4</w:t>
      </w:r>
      <w:r w:rsidRPr="00C73B7E">
        <w:rPr>
          <w:rFonts w:ascii="Calibri" w:eastAsia="Calibri" w:hAnsi="Calibri" w:cs="Calibri"/>
          <w:sz w:val="18"/>
          <w:szCs w:val="18"/>
        </w:rPr>
        <w:t xml:space="preserve"> </w:t>
      </w:r>
      <w:proofErr w:type="spellStart"/>
      <w:r w:rsidRPr="00C73B7E">
        <w:rPr>
          <w:rFonts w:ascii="Calibri" w:eastAsia="Calibri" w:hAnsi="Calibri" w:cs="Calibri"/>
          <w:sz w:val="18"/>
          <w:szCs w:val="18"/>
        </w:rPr>
        <w:t>Sricharan</w:t>
      </w:r>
      <w:proofErr w:type="spellEnd"/>
      <w:r w:rsidRPr="00C73B7E">
        <w:rPr>
          <w:rFonts w:ascii="Calibri" w:eastAsia="Calibri" w:hAnsi="Calibri" w:cs="Calibri"/>
          <w:sz w:val="18"/>
          <w:szCs w:val="18"/>
        </w:rPr>
        <w:t>, KN et al. Study of acute myocardial infarction in young adults: risk factors, presentation and angiographic findings. Journal of Clinical and Diagnostic Research 2012 6(2):257-260.</w:t>
      </w:r>
    </w:p>
    <w:p w:rsidR="00C73B7E" w:rsidRPr="00C73B7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5</w:t>
      </w:r>
      <w:r w:rsidRPr="00C73B7E">
        <w:rPr>
          <w:rFonts w:ascii="Calibri" w:eastAsia="Calibri" w:hAnsi="Calibri" w:cs="Calibri"/>
          <w:sz w:val="18"/>
          <w:szCs w:val="18"/>
        </w:rPr>
        <w:t xml:space="preserve"> </w:t>
      </w:r>
      <w:proofErr w:type="spellStart"/>
      <w:r w:rsidRPr="00C73B7E">
        <w:rPr>
          <w:rFonts w:ascii="Calibri" w:eastAsia="Calibri" w:hAnsi="Calibri" w:cs="Calibri"/>
          <w:sz w:val="18"/>
          <w:szCs w:val="18"/>
        </w:rPr>
        <w:t>Puricel</w:t>
      </w:r>
      <w:proofErr w:type="spellEnd"/>
      <w:r w:rsidRPr="00C73B7E">
        <w:rPr>
          <w:rFonts w:ascii="Calibri" w:eastAsia="Calibri" w:hAnsi="Calibri" w:cs="Calibri"/>
          <w:sz w:val="18"/>
          <w:szCs w:val="18"/>
        </w:rPr>
        <w:t xml:space="preserve">, S. et al. Acute coronary syndrome in patients younger </w:t>
      </w:r>
      <w:r w:rsidRPr="00B927AE">
        <w:rPr>
          <w:rFonts w:ascii="Calibri" w:eastAsia="Calibri" w:hAnsi="Calibri" w:cs="Calibri"/>
          <w:sz w:val="18"/>
          <w:szCs w:val="18"/>
        </w:rPr>
        <w:t>than</w:t>
      </w:r>
      <w:r w:rsidRPr="00C73B7E">
        <w:rPr>
          <w:rFonts w:ascii="Calibri" w:eastAsia="Calibri" w:hAnsi="Calibri" w:cs="Calibri"/>
          <w:sz w:val="18"/>
          <w:szCs w:val="18"/>
        </w:rPr>
        <w:t xml:space="preserve"> 30 years - </w:t>
      </w:r>
      <w:proofErr w:type="spellStart"/>
      <w:r w:rsidRPr="00C73B7E">
        <w:rPr>
          <w:rFonts w:ascii="Calibri" w:eastAsia="Calibri" w:hAnsi="Calibri" w:cs="Calibri"/>
          <w:sz w:val="18"/>
          <w:szCs w:val="18"/>
        </w:rPr>
        <w:t>aetiologies</w:t>
      </w:r>
      <w:proofErr w:type="spellEnd"/>
      <w:r w:rsidRPr="00C73B7E">
        <w:rPr>
          <w:rFonts w:ascii="Calibri" w:eastAsia="Calibri" w:hAnsi="Calibri" w:cs="Calibri"/>
          <w:sz w:val="18"/>
          <w:szCs w:val="18"/>
        </w:rPr>
        <w:t>, baseline characteristics and long-term clinical outcome. Swiss Med Wkly. 2013;</w:t>
      </w:r>
      <w:proofErr w:type="gramStart"/>
      <w:r w:rsidRPr="00C73B7E">
        <w:rPr>
          <w:rFonts w:ascii="Calibri" w:eastAsia="Calibri" w:hAnsi="Calibri" w:cs="Calibri"/>
          <w:sz w:val="18"/>
          <w:szCs w:val="18"/>
        </w:rPr>
        <w:t>143:w</w:t>
      </w:r>
      <w:proofErr w:type="gramEnd"/>
      <w:r w:rsidRPr="00C73B7E">
        <w:rPr>
          <w:rFonts w:ascii="Calibri" w:eastAsia="Calibri" w:hAnsi="Calibri" w:cs="Calibri"/>
          <w:sz w:val="18"/>
          <w:szCs w:val="18"/>
        </w:rPr>
        <w:t>13816.</w:t>
      </w:r>
    </w:p>
    <w:p w:rsidR="002D6B33" w:rsidRPr="00B927AE" w:rsidRDefault="00C73B7E" w:rsidP="00C73B7E">
      <w:pPr>
        <w:spacing w:after="160" w:line="259" w:lineRule="auto"/>
        <w:rPr>
          <w:rFonts w:ascii="Calibri" w:eastAsia="Calibri" w:hAnsi="Calibri" w:cs="Calibri"/>
          <w:sz w:val="18"/>
          <w:szCs w:val="18"/>
        </w:rPr>
      </w:pPr>
      <w:r w:rsidRPr="00B927AE">
        <w:rPr>
          <w:rFonts w:ascii="Calibri" w:eastAsia="Calibri" w:hAnsi="Calibri" w:cs="Calibri"/>
          <w:sz w:val="18"/>
          <w:szCs w:val="18"/>
        </w:rPr>
        <w:t>6</w:t>
      </w:r>
      <w:r w:rsidRPr="00C73B7E">
        <w:rPr>
          <w:rFonts w:ascii="Calibri" w:eastAsia="Calibri" w:hAnsi="Calibri" w:cs="Calibri"/>
          <w:sz w:val="18"/>
          <w:szCs w:val="18"/>
        </w:rPr>
        <w:t xml:space="preserve"> Azar, R. (2015) Coronary heart disease and myocardial infarction in young men and women. In: </w:t>
      </w:r>
      <w:proofErr w:type="spellStart"/>
      <w:r w:rsidRPr="00C73B7E">
        <w:rPr>
          <w:rFonts w:ascii="Calibri" w:eastAsia="Calibri" w:hAnsi="Calibri" w:cs="Calibri"/>
          <w:sz w:val="18"/>
          <w:szCs w:val="18"/>
        </w:rPr>
        <w:t>UpToDate</w:t>
      </w:r>
      <w:proofErr w:type="spellEnd"/>
      <w:r w:rsidRPr="00C73B7E">
        <w:rPr>
          <w:rFonts w:ascii="Calibri" w:eastAsia="Calibri" w:hAnsi="Calibri" w:cs="Calibri"/>
          <w:sz w:val="18"/>
          <w:szCs w:val="18"/>
        </w:rPr>
        <w:t xml:space="preserve">, G.M. </w:t>
      </w:r>
      <w:proofErr w:type="spellStart"/>
      <w:r w:rsidRPr="00C73B7E">
        <w:rPr>
          <w:rFonts w:ascii="Calibri" w:eastAsia="Calibri" w:hAnsi="Calibri" w:cs="Calibri"/>
          <w:sz w:val="18"/>
          <w:szCs w:val="18"/>
        </w:rPr>
        <w:t>Saperia</w:t>
      </w:r>
      <w:proofErr w:type="spellEnd"/>
      <w:r w:rsidRPr="00C73B7E">
        <w:rPr>
          <w:rFonts w:ascii="Calibri" w:eastAsia="Calibri" w:hAnsi="Calibri" w:cs="Calibri"/>
          <w:sz w:val="18"/>
          <w:szCs w:val="18"/>
        </w:rPr>
        <w:t xml:space="preserve"> (Ed), </w:t>
      </w:r>
      <w:proofErr w:type="spellStart"/>
      <w:r w:rsidRPr="00C73B7E">
        <w:rPr>
          <w:rFonts w:ascii="Calibri" w:eastAsia="Calibri" w:hAnsi="Calibri" w:cs="Calibri"/>
          <w:sz w:val="18"/>
          <w:szCs w:val="18"/>
        </w:rPr>
        <w:t>UpToDate</w:t>
      </w:r>
      <w:proofErr w:type="spellEnd"/>
      <w:r w:rsidRPr="00C73B7E">
        <w:rPr>
          <w:rFonts w:ascii="Calibri" w:eastAsia="Calibri" w:hAnsi="Calibri" w:cs="Calibri"/>
          <w:sz w:val="18"/>
          <w:szCs w:val="18"/>
        </w:rPr>
        <w:t>, Waltham, MA.</w:t>
      </w:r>
      <w:r w:rsidRPr="00B927AE">
        <w:rPr>
          <w:rFonts w:ascii="Calibri" w:eastAsia="Calibri" w:hAnsi="Calibri" w:cs="Calibri"/>
          <w:sz w:val="18"/>
          <w:szCs w:val="18"/>
        </w:rPr>
        <w:t xml:space="preserve"> (Accessed on December 1, 2015</w:t>
      </w:r>
    </w:p>
    <w:p w:rsidR="00B511F3" w:rsidRDefault="00B511F3" w:rsidP="00C73B7E">
      <w:pPr>
        <w:spacing w:after="160" w:line="259" w:lineRule="auto"/>
      </w:pPr>
    </w:p>
    <w:p w:rsidR="00B511F3" w:rsidRPr="00B511F3" w:rsidRDefault="00B511F3" w:rsidP="00B511F3"/>
    <w:p w:rsidR="00B511F3" w:rsidRPr="00B511F3" w:rsidRDefault="00B511F3" w:rsidP="00B511F3"/>
    <w:p w:rsidR="00B511F3" w:rsidRPr="00B511F3" w:rsidRDefault="00B511F3" w:rsidP="00B511F3"/>
    <w:p w:rsidR="00B511F3" w:rsidRPr="00B511F3" w:rsidRDefault="00B511F3" w:rsidP="00B511F3"/>
    <w:p w:rsidR="00B511F3" w:rsidRPr="00B511F3" w:rsidRDefault="00B511F3" w:rsidP="00B511F3"/>
    <w:p w:rsidR="00B511F3" w:rsidRPr="00B511F3" w:rsidRDefault="00B511F3" w:rsidP="00B511F3"/>
    <w:p w:rsidR="00B511F3" w:rsidRPr="00B511F3" w:rsidRDefault="00B511F3" w:rsidP="00B511F3"/>
    <w:p w:rsidR="00B511F3" w:rsidRPr="00B511F3" w:rsidRDefault="00B511F3" w:rsidP="00B511F3"/>
    <w:p w:rsidR="00B511F3" w:rsidRDefault="00B511F3" w:rsidP="00B511F3"/>
    <w:p w:rsidR="00B511F3" w:rsidRDefault="00B511F3" w:rsidP="00B511F3">
      <w:r>
        <w:rPr>
          <w:noProof/>
        </w:rPr>
        <w:drawing>
          <wp:inline distT="0" distB="0" distL="0" distR="0">
            <wp:extent cx="723900" cy="686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p ID pic.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36195" cy="697951"/>
                    </a:xfrm>
                    <a:prstGeom prst="rect">
                      <a:avLst/>
                    </a:prstGeom>
                  </pic:spPr>
                </pic:pic>
              </a:graphicData>
            </a:graphic>
          </wp:inline>
        </w:drawing>
      </w:r>
    </w:p>
    <w:p w:rsidR="00C73B7E" w:rsidRPr="00B511F3" w:rsidRDefault="00B511F3" w:rsidP="00B511F3">
      <w:pPr>
        <w:rPr>
          <w:b/>
        </w:rPr>
      </w:pPr>
      <w:r w:rsidRPr="00B511F3">
        <w:rPr>
          <w:b/>
        </w:rPr>
        <w:t>Biography</w:t>
      </w:r>
    </w:p>
    <w:p w:rsidR="00B511F3" w:rsidRDefault="00B511F3" w:rsidP="00B511F3">
      <w:r>
        <w:t>Dr. Stephanie Sales-Florentino completed her research paper during her residency training in Internal Medicine, which she completed in December 2015.  She is currently practicing as a telemetry officer at Asian Hospi</w:t>
      </w:r>
      <w:r w:rsidR="00EF50A7">
        <w:t xml:space="preserve">tal and Medical Center in Muntinlupa, Metro </w:t>
      </w:r>
      <w:proofErr w:type="gramStart"/>
      <w:r w:rsidR="00EF50A7">
        <w:t>Manila,  Philippines</w:t>
      </w:r>
      <w:proofErr w:type="gramEnd"/>
      <w:r w:rsidR="00EF50A7">
        <w:t xml:space="preserve">. </w:t>
      </w:r>
    </w:p>
    <w:p w:rsidR="00B511F3" w:rsidRPr="00B511F3" w:rsidRDefault="00B511F3" w:rsidP="00B511F3"/>
    <w:sectPr w:rsidR="00B511F3" w:rsidRPr="00B511F3" w:rsidSect="00C73B7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1C4"/>
    <w:rsid w:val="00093522"/>
    <w:rsid w:val="002D6B33"/>
    <w:rsid w:val="0087126B"/>
    <w:rsid w:val="00B511F3"/>
    <w:rsid w:val="00B927AE"/>
    <w:rsid w:val="00C73B7E"/>
    <w:rsid w:val="00EF50A7"/>
    <w:rsid w:val="00FB71C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37DE"/>
  <w15:chartTrackingRefBased/>
  <w15:docId w15:val="{22DEA179-2A34-4B41-BD43-988C33C5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Stephanie Alessa Sales</dc:creator>
  <cp:keywords/>
  <dc:description/>
  <cp:lastModifiedBy>Maria Stephanie Alessa Sales</cp:lastModifiedBy>
  <cp:revision>4</cp:revision>
  <dcterms:created xsi:type="dcterms:W3CDTF">2017-08-08T12:50:00Z</dcterms:created>
  <dcterms:modified xsi:type="dcterms:W3CDTF">2017-08-08T13:11:00Z</dcterms:modified>
</cp:coreProperties>
</file>