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485DB3" w:rsidP="00494130">
      <w:pPr>
        <w:pStyle w:val="Heading1"/>
        <w:spacing w:before="170"/>
        <w:ind w:left="0"/>
      </w:pPr>
      <w:bookmarkStart w:id="0" w:name="_GoBack"/>
      <w:bookmarkEnd w:id="0"/>
      <w:r>
        <w:rPr>
          <w:color w:val="337AB7"/>
        </w:rPr>
        <w:t>Construction of Risk Scores for Cardiac Surgical Patients</w:t>
      </w:r>
      <w:r w:rsidR="005F6925">
        <w:rPr>
          <w:color w:val="337AB7"/>
        </w:rPr>
        <w:t>: Dos and Don’ts</w:t>
      </w:r>
    </w:p>
    <w:p w:rsidR="005973B9" w:rsidRDefault="00485DB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Siew-Pang Chan</w:t>
      </w:r>
      <w:r w:rsidR="005973B9">
        <w:rPr>
          <w:rFonts w:ascii="Arial"/>
        </w:rPr>
        <w:t>, PhD</w:t>
      </w:r>
      <w:r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F6925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F6925" w:rsidRDefault="005F6925" w:rsidP="005F6925">
      <w:pPr>
        <w:spacing w:line="360" w:lineRule="auto"/>
        <w:contextualSpacing/>
        <w:jc w:val="both"/>
        <w:rPr>
          <w:sz w:val="24"/>
          <w:szCs w:val="24"/>
        </w:rPr>
      </w:pPr>
      <w:r w:rsidRPr="005F6925">
        <w:rPr>
          <w:rFonts w:asciiTheme="minorHAnsi" w:hAnsiTheme="minorHAnsi"/>
          <w:sz w:val="18"/>
          <w:szCs w:val="18"/>
        </w:rPr>
        <w:t xml:space="preserve">Constructing risk scores for cardiac surgical patients commands a high level of intellectual attention, fueled in part by its multi-disciplinary nature and the ever-emerging evidence from cardiac research. The search for an “ideal” model </w:t>
      </w:r>
      <w:proofErr w:type="gramStart"/>
      <w:r w:rsidRPr="005F6925">
        <w:rPr>
          <w:rFonts w:asciiTheme="minorHAnsi" w:hAnsiTheme="minorHAnsi"/>
          <w:sz w:val="18"/>
          <w:szCs w:val="18"/>
        </w:rPr>
        <w:t>is pursued</w:t>
      </w:r>
      <w:proofErr w:type="gramEnd"/>
      <w:r w:rsidRPr="005F6925">
        <w:rPr>
          <w:rFonts w:asciiTheme="minorHAnsi" w:hAnsiTheme="minorHAnsi"/>
          <w:sz w:val="18"/>
          <w:szCs w:val="18"/>
        </w:rPr>
        <w:t xml:space="preserve"> as a clinical and methodological undertaking, but the recent developments in statistics and data science have not been appropriately infused into the </w:t>
      </w:r>
      <w:proofErr w:type="spellStart"/>
      <w:r w:rsidRPr="005F6925">
        <w:rPr>
          <w:rFonts w:asciiTheme="minorHAnsi" w:hAnsiTheme="minorHAnsi"/>
          <w:sz w:val="18"/>
          <w:szCs w:val="18"/>
        </w:rPr>
        <w:t>endeavour</w:t>
      </w:r>
      <w:proofErr w:type="spellEnd"/>
      <w:r w:rsidRPr="005F6925">
        <w:rPr>
          <w:rFonts w:asciiTheme="minorHAnsi" w:hAnsiTheme="minorHAnsi"/>
          <w:sz w:val="18"/>
          <w:szCs w:val="18"/>
        </w:rPr>
        <w:t xml:space="preserve">.  While the celebrated </w:t>
      </w:r>
      <w:proofErr w:type="spellStart"/>
      <w:r w:rsidRPr="005F6925">
        <w:rPr>
          <w:rFonts w:asciiTheme="minorHAnsi" w:hAnsiTheme="minorHAnsi"/>
          <w:sz w:val="18"/>
          <w:szCs w:val="18"/>
        </w:rPr>
        <w:t>EuroSCORE</w:t>
      </w:r>
      <w:proofErr w:type="spellEnd"/>
      <w:r w:rsidRPr="005F6925">
        <w:rPr>
          <w:rFonts w:asciiTheme="minorHAnsi" w:hAnsiTheme="minorHAnsi"/>
          <w:sz w:val="18"/>
          <w:szCs w:val="18"/>
        </w:rPr>
        <w:t xml:space="preserve"> II, STS and ACEF scores continue to serve the needs of the scientific community, it is timey to re-examine the underlying methodological issues and to shed light on the pitfalls of the current practice. </w:t>
      </w:r>
      <w:r>
        <w:rPr>
          <w:rFonts w:asciiTheme="minorHAnsi" w:hAnsiTheme="minorHAnsi"/>
          <w:sz w:val="18"/>
          <w:szCs w:val="18"/>
        </w:rPr>
        <w:t xml:space="preserve"> </w:t>
      </w:r>
      <w:r w:rsidRPr="005F6925">
        <w:rPr>
          <w:rFonts w:asciiTheme="minorHAnsi" w:hAnsiTheme="minorHAnsi"/>
          <w:sz w:val="18"/>
          <w:szCs w:val="18"/>
        </w:rPr>
        <w:t xml:space="preserve">A risk score is only reasonable, useful and comprehensive if it is perioperative in nature, as the occurrence of death </w:t>
      </w:r>
      <w:r w:rsidR="004D1CFD">
        <w:rPr>
          <w:rFonts w:asciiTheme="minorHAnsi" w:hAnsiTheme="minorHAnsi"/>
          <w:sz w:val="18"/>
          <w:szCs w:val="18"/>
        </w:rPr>
        <w:t xml:space="preserve">(Mortality) </w:t>
      </w:r>
      <w:r w:rsidRPr="005F6925">
        <w:rPr>
          <w:rFonts w:asciiTheme="minorHAnsi" w:hAnsiTheme="minorHAnsi"/>
          <w:sz w:val="18"/>
          <w:szCs w:val="18"/>
        </w:rPr>
        <w:t xml:space="preserve">could be explained by </w:t>
      </w:r>
      <w:r w:rsidR="004D1CFD">
        <w:rPr>
          <w:rFonts w:asciiTheme="minorHAnsi" w:hAnsiTheme="minorHAnsi"/>
          <w:sz w:val="18"/>
          <w:szCs w:val="18"/>
        </w:rPr>
        <w:t xml:space="preserve">demographics (Demo), </w:t>
      </w:r>
      <w:r w:rsidRPr="005F6925">
        <w:rPr>
          <w:rFonts w:asciiTheme="minorHAnsi" w:hAnsiTheme="minorHAnsi"/>
          <w:sz w:val="18"/>
          <w:szCs w:val="18"/>
        </w:rPr>
        <w:t>preoperative</w:t>
      </w:r>
      <w:r w:rsidR="004D1CFD">
        <w:rPr>
          <w:rFonts w:asciiTheme="minorHAnsi" w:hAnsiTheme="minorHAnsi"/>
          <w:sz w:val="18"/>
          <w:szCs w:val="18"/>
        </w:rPr>
        <w:t xml:space="preserve"> (</w:t>
      </w:r>
      <w:proofErr w:type="spellStart"/>
      <w:r w:rsidR="004D1CFD">
        <w:rPr>
          <w:rFonts w:asciiTheme="minorHAnsi" w:hAnsiTheme="minorHAnsi"/>
          <w:sz w:val="18"/>
          <w:szCs w:val="18"/>
        </w:rPr>
        <w:t>PreOp</w:t>
      </w:r>
      <w:proofErr w:type="spellEnd"/>
      <w:r w:rsidR="004D1CFD">
        <w:rPr>
          <w:rFonts w:asciiTheme="minorHAnsi" w:hAnsiTheme="minorHAnsi"/>
          <w:sz w:val="18"/>
          <w:szCs w:val="18"/>
        </w:rPr>
        <w:t>)</w:t>
      </w:r>
      <w:r w:rsidRPr="005F6925">
        <w:rPr>
          <w:rFonts w:asciiTheme="minorHAnsi" w:hAnsiTheme="minorHAnsi"/>
          <w:sz w:val="18"/>
          <w:szCs w:val="18"/>
        </w:rPr>
        <w:t xml:space="preserve">, intraoperative </w:t>
      </w:r>
      <w:r w:rsidR="004D1CFD">
        <w:rPr>
          <w:rFonts w:asciiTheme="minorHAnsi" w:hAnsiTheme="minorHAnsi"/>
          <w:sz w:val="18"/>
          <w:szCs w:val="18"/>
        </w:rPr>
        <w:t>(</w:t>
      </w:r>
      <w:proofErr w:type="spellStart"/>
      <w:r w:rsidR="004D1CFD">
        <w:rPr>
          <w:rFonts w:asciiTheme="minorHAnsi" w:hAnsiTheme="minorHAnsi"/>
          <w:sz w:val="18"/>
          <w:szCs w:val="18"/>
        </w:rPr>
        <w:t>IntraOp</w:t>
      </w:r>
      <w:proofErr w:type="spellEnd"/>
      <w:r w:rsidR="004D1CFD">
        <w:rPr>
          <w:rFonts w:asciiTheme="minorHAnsi" w:hAnsiTheme="minorHAnsi"/>
          <w:sz w:val="18"/>
          <w:szCs w:val="18"/>
        </w:rPr>
        <w:t xml:space="preserve">) </w:t>
      </w:r>
      <w:r w:rsidRPr="005F6925">
        <w:rPr>
          <w:rFonts w:asciiTheme="minorHAnsi" w:hAnsiTheme="minorHAnsi"/>
          <w:sz w:val="18"/>
          <w:szCs w:val="18"/>
        </w:rPr>
        <w:t xml:space="preserve">and postoperative </w:t>
      </w:r>
      <w:r w:rsidR="004D1CFD">
        <w:rPr>
          <w:rFonts w:asciiTheme="minorHAnsi" w:hAnsiTheme="minorHAnsi"/>
          <w:sz w:val="18"/>
          <w:szCs w:val="18"/>
        </w:rPr>
        <w:t>(</w:t>
      </w:r>
      <w:proofErr w:type="spellStart"/>
      <w:r w:rsidR="004D1CFD">
        <w:rPr>
          <w:rFonts w:asciiTheme="minorHAnsi" w:hAnsiTheme="minorHAnsi"/>
          <w:sz w:val="18"/>
          <w:szCs w:val="18"/>
        </w:rPr>
        <w:t>PostOp</w:t>
      </w:r>
      <w:proofErr w:type="spellEnd"/>
      <w:r w:rsidR="004D1CFD">
        <w:rPr>
          <w:rFonts w:asciiTheme="minorHAnsi" w:hAnsiTheme="minorHAnsi"/>
          <w:sz w:val="18"/>
          <w:szCs w:val="18"/>
        </w:rPr>
        <w:t xml:space="preserve">) </w:t>
      </w:r>
      <w:r w:rsidRPr="005F6925">
        <w:rPr>
          <w:rFonts w:asciiTheme="minorHAnsi" w:hAnsiTheme="minorHAnsi"/>
          <w:sz w:val="18"/>
          <w:szCs w:val="18"/>
        </w:rPr>
        <w:t>factors acting individually and jointly, directly and indirectly</w:t>
      </w:r>
      <w:r w:rsidR="004D1CFD">
        <w:rPr>
          <w:rFonts w:asciiTheme="minorHAnsi" w:hAnsiTheme="minorHAnsi"/>
          <w:sz w:val="18"/>
          <w:szCs w:val="18"/>
        </w:rPr>
        <w:t>, as depicted in Figure 1</w:t>
      </w:r>
      <w:r w:rsidRPr="005F6925">
        <w:rPr>
          <w:rFonts w:asciiTheme="minorHAnsi" w:hAnsiTheme="minorHAnsi"/>
          <w:sz w:val="18"/>
          <w:szCs w:val="18"/>
        </w:rPr>
        <w:t xml:space="preserve">. The structural equation model </w:t>
      </w:r>
      <w:r w:rsidR="004D1CFD">
        <w:rPr>
          <w:rFonts w:asciiTheme="minorHAnsi" w:hAnsiTheme="minorHAnsi"/>
          <w:sz w:val="18"/>
          <w:szCs w:val="18"/>
        </w:rPr>
        <w:t xml:space="preserve">(SEM) </w:t>
      </w:r>
      <w:proofErr w:type="gramStart"/>
      <w:r w:rsidRPr="005F6925">
        <w:rPr>
          <w:rFonts w:asciiTheme="minorHAnsi" w:hAnsiTheme="minorHAnsi"/>
          <w:sz w:val="18"/>
          <w:szCs w:val="18"/>
        </w:rPr>
        <w:t>is</w:t>
      </w:r>
      <w:r>
        <w:rPr>
          <w:rFonts w:asciiTheme="minorHAnsi" w:hAnsiTheme="minorHAnsi"/>
          <w:sz w:val="18"/>
          <w:szCs w:val="18"/>
        </w:rPr>
        <w:t xml:space="preserve"> thus</w:t>
      </w:r>
      <w:r w:rsidRPr="005F6925">
        <w:rPr>
          <w:rFonts w:asciiTheme="minorHAnsi" w:hAnsiTheme="minorHAnsi"/>
          <w:sz w:val="18"/>
          <w:szCs w:val="18"/>
        </w:rPr>
        <w:t xml:space="preserve"> proposed</w:t>
      </w:r>
      <w:proofErr w:type="gramEnd"/>
      <w:r w:rsidRPr="005F6925">
        <w:rPr>
          <w:rFonts w:asciiTheme="minorHAnsi" w:hAnsiTheme="minorHAnsi"/>
          <w:sz w:val="18"/>
          <w:szCs w:val="18"/>
        </w:rPr>
        <w:t xml:space="preserve"> for </w:t>
      </w:r>
      <w:r w:rsidR="004D1CFD">
        <w:rPr>
          <w:rFonts w:asciiTheme="minorHAnsi" w:hAnsiTheme="minorHAnsi"/>
          <w:sz w:val="18"/>
          <w:szCs w:val="18"/>
        </w:rPr>
        <w:t>r</w:t>
      </w:r>
      <w:r w:rsidRPr="005F6925">
        <w:rPr>
          <w:rFonts w:asciiTheme="minorHAnsi" w:hAnsiTheme="minorHAnsi"/>
          <w:sz w:val="18"/>
          <w:szCs w:val="18"/>
        </w:rPr>
        <w:t>isk</w:t>
      </w:r>
      <w:r w:rsidR="004D1CFD">
        <w:rPr>
          <w:rFonts w:asciiTheme="minorHAnsi" w:hAnsiTheme="minorHAnsi"/>
          <w:sz w:val="18"/>
          <w:szCs w:val="18"/>
        </w:rPr>
        <w:t xml:space="preserve">-score construction, </w:t>
      </w:r>
      <w:r w:rsidRPr="005F6925">
        <w:rPr>
          <w:rFonts w:asciiTheme="minorHAnsi" w:hAnsiTheme="minorHAnsi"/>
          <w:sz w:val="18"/>
          <w:szCs w:val="18"/>
        </w:rPr>
        <w:t xml:space="preserve">in view of the perioperative nature and the complexity in data structures. The decision trees </w:t>
      </w:r>
      <w:proofErr w:type="gramStart"/>
      <w:r w:rsidRPr="005F6925">
        <w:rPr>
          <w:rFonts w:asciiTheme="minorHAnsi" w:hAnsiTheme="minorHAnsi"/>
          <w:sz w:val="18"/>
          <w:szCs w:val="18"/>
        </w:rPr>
        <w:t xml:space="preserve">could </w:t>
      </w:r>
      <w:r w:rsidR="004D1CFD">
        <w:rPr>
          <w:rFonts w:asciiTheme="minorHAnsi" w:hAnsiTheme="minorHAnsi"/>
          <w:sz w:val="18"/>
          <w:szCs w:val="18"/>
        </w:rPr>
        <w:t xml:space="preserve">also </w:t>
      </w:r>
      <w:r w:rsidRPr="005F6925">
        <w:rPr>
          <w:rFonts w:asciiTheme="minorHAnsi" w:hAnsiTheme="minorHAnsi"/>
          <w:sz w:val="18"/>
          <w:szCs w:val="18"/>
        </w:rPr>
        <w:t>be applied</w:t>
      </w:r>
      <w:proofErr w:type="gramEnd"/>
      <w:r w:rsidRPr="005F6925">
        <w:rPr>
          <w:rFonts w:asciiTheme="minorHAnsi" w:hAnsiTheme="minorHAnsi"/>
          <w:sz w:val="18"/>
          <w:szCs w:val="18"/>
        </w:rPr>
        <w:t xml:space="preserve"> for model selection, in terms of identification of relevant predictors and variable discretization. The pitfalls of the conventional methodology, based on logistic regression for estimation and prediction, Hosmer-</w:t>
      </w:r>
      <w:proofErr w:type="spellStart"/>
      <w:r w:rsidRPr="005F6925">
        <w:rPr>
          <w:rFonts w:asciiTheme="minorHAnsi" w:hAnsiTheme="minorHAnsi"/>
          <w:sz w:val="18"/>
          <w:szCs w:val="18"/>
        </w:rPr>
        <w:t>Lemeshow</w:t>
      </w:r>
      <w:proofErr w:type="spellEnd"/>
      <w:r w:rsidRPr="005F6925">
        <w:rPr>
          <w:rFonts w:asciiTheme="minorHAnsi" w:hAnsiTheme="minorHAnsi"/>
          <w:sz w:val="18"/>
          <w:szCs w:val="18"/>
        </w:rPr>
        <w:t xml:space="preserve"> test for goodness of fit and c-statistics for assessment of predictive accuracy, </w:t>
      </w:r>
      <w:proofErr w:type="gramStart"/>
      <w:r w:rsidRPr="005F6925">
        <w:rPr>
          <w:rFonts w:asciiTheme="minorHAnsi" w:hAnsiTheme="minorHAnsi"/>
          <w:sz w:val="18"/>
          <w:szCs w:val="18"/>
        </w:rPr>
        <w:t>are also discussed</w:t>
      </w:r>
      <w:proofErr w:type="gramEnd"/>
      <w:r w:rsidRPr="005F6925">
        <w:rPr>
          <w:rFonts w:asciiTheme="minorHAnsi" w:hAnsiTheme="minorHAnsi"/>
          <w:sz w:val="18"/>
          <w:szCs w:val="18"/>
        </w:rPr>
        <w:t>.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5F6925" w:rsidRPr="005F6925" w:rsidRDefault="005F6925" w:rsidP="005F6925">
      <w:pPr>
        <w:spacing w:line="36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485DB3">
      <w:pPr>
        <w:pStyle w:val="BodyText"/>
        <w:spacing w:before="2"/>
        <w:rPr>
          <w:rFonts w:ascii="Arial"/>
          <w:b/>
          <w:sz w:val="16"/>
        </w:rPr>
      </w:pPr>
      <w:r w:rsidRPr="00B0617C">
        <w:rPr>
          <w:rFonts w:cs="Arial"/>
          <w:noProof/>
          <w:sz w:val="24"/>
          <w:szCs w:val="24"/>
          <w:lang w:eastAsia="zh-CN"/>
        </w:rPr>
        <w:drawing>
          <wp:inline distT="0" distB="0" distL="0" distR="0" wp14:anchorId="139E3798" wp14:editId="37C774CC">
            <wp:extent cx="3165475" cy="2605642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t="7918" r="34166" b="13541"/>
                    <a:stretch/>
                  </pic:blipFill>
                  <pic:spPr bwMode="auto">
                    <a:xfrm>
                      <a:off x="0" y="0"/>
                      <a:ext cx="3165475" cy="260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5DB3" w:rsidRPr="00485DB3" w:rsidRDefault="00485DB3" w:rsidP="00485DB3">
      <w:pPr>
        <w:rPr>
          <w:rFonts w:cs="Arial"/>
          <w:sz w:val="16"/>
          <w:szCs w:val="16"/>
        </w:rPr>
      </w:pPr>
      <w:r w:rsidRPr="00485DB3">
        <w:rPr>
          <w:rFonts w:cs="Arial"/>
          <w:sz w:val="16"/>
          <w:szCs w:val="16"/>
        </w:rPr>
        <w:t>Figure 1: A generic path diagram for cardiac risk-scoring construction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485DB3">
        <w:rPr>
          <w:rFonts w:ascii="Arial"/>
          <w:b/>
          <w:color w:val="BF5A14"/>
          <w:sz w:val="20"/>
        </w:rPr>
        <w:t>References</w:t>
      </w:r>
    </w:p>
    <w:p w:rsidR="00485DB3" w:rsidRPr="004145A2" w:rsidRDefault="00485DB3" w:rsidP="004145A2">
      <w:pPr>
        <w:ind w:left="170" w:hanging="170"/>
        <w:contextualSpacing/>
        <w:jc w:val="both"/>
        <w:rPr>
          <w:rFonts w:asciiTheme="minorHAnsi" w:hAnsiTheme="minorHAnsi" w:cs="Arial"/>
          <w:sz w:val="18"/>
          <w:szCs w:val="18"/>
        </w:rPr>
      </w:pPr>
      <w:r w:rsidRPr="004145A2">
        <w:rPr>
          <w:rFonts w:asciiTheme="minorHAnsi" w:hAnsiTheme="minorHAnsi" w:cs="Arial"/>
          <w:sz w:val="18"/>
          <w:szCs w:val="18"/>
        </w:rPr>
        <w:t xml:space="preserve">1.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Nashef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S, Roques F,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Sharples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L, Nilsson J, Smith C, et al. (2012)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EuroSCORE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II. </w:t>
      </w:r>
      <w:proofErr w:type="spellStart"/>
      <w:r w:rsidRPr="004145A2">
        <w:rPr>
          <w:rFonts w:asciiTheme="minorHAnsi" w:hAnsiTheme="minorHAnsi"/>
          <w:bCs/>
          <w:sz w:val="18"/>
          <w:szCs w:val="18"/>
        </w:rPr>
        <w:t>Eur</w:t>
      </w:r>
      <w:proofErr w:type="spellEnd"/>
      <w:r w:rsidRPr="004145A2">
        <w:rPr>
          <w:rFonts w:asciiTheme="minorHAnsi" w:hAnsiTheme="minorHAnsi"/>
          <w:bCs/>
          <w:sz w:val="18"/>
          <w:szCs w:val="18"/>
        </w:rPr>
        <w:t xml:space="preserve"> J Cardio-</w:t>
      </w:r>
      <w:proofErr w:type="spellStart"/>
      <w:r w:rsidRPr="004145A2">
        <w:rPr>
          <w:rFonts w:asciiTheme="minorHAnsi" w:hAnsiTheme="minorHAnsi"/>
          <w:bCs/>
          <w:sz w:val="18"/>
          <w:szCs w:val="18"/>
        </w:rPr>
        <w:t>Thorac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41, 734-745.</w:t>
      </w:r>
    </w:p>
    <w:p w:rsidR="00485DB3" w:rsidRPr="004145A2" w:rsidRDefault="00485DB3" w:rsidP="004145A2">
      <w:pPr>
        <w:ind w:left="170" w:hanging="170"/>
        <w:contextualSpacing/>
        <w:jc w:val="both"/>
        <w:rPr>
          <w:rFonts w:asciiTheme="minorHAnsi" w:hAnsiTheme="minorHAnsi" w:cs="Arial"/>
          <w:sz w:val="18"/>
          <w:szCs w:val="18"/>
        </w:rPr>
      </w:pPr>
      <w:r w:rsidRPr="004145A2">
        <w:rPr>
          <w:rFonts w:asciiTheme="minorHAnsi" w:hAnsiTheme="minorHAnsi" w:cs="Arial"/>
          <w:sz w:val="18"/>
          <w:szCs w:val="18"/>
        </w:rPr>
        <w:t xml:space="preserve">2.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Shahian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D, O’Brien S,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Filardo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G, Ferraris V,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Haan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C, et al. (2009) The Society of Thoracic Surgeons 2008 cardia risk models: part 3</w:t>
      </w:r>
      <w:r w:rsidRPr="004145A2">
        <w:rPr>
          <w:rFonts w:asciiTheme="minorHAnsi" w:hAnsiTheme="minorHAnsi"/>
          <w:sz w:val="18"/>
          <w:szCs w:val="18"/>
        </w:rPr>
        <w:sym w:font="Symbol" w:char="F02D"/>
      </w:r>
      <w:r w:rsidRPr="004145A2">
        <w:rPr>
          <w:rFonts w:asciiTheme="minorHAnsi" w:hAnsiTheme="minorHAnsi" w:cs="Arial"/>
          <w:sz w:val="18"/>
          <w:szCs w:val="18"/>
        </w:rPr>
        <w:t xml:space="preserve">valve plus coronary artery </w:t>
      </w:r>
      <w:proofErr w:type="gramStart"/>
      <w:r w:rsidRPr="004145A2">
        <w:rPr>
          <w:rFonts w:asciiTheme="minorHAnsi" w:hAnsiTheme="minorHAnsi" w:cs="Arial"/>
          <w:sz w:val="18"/>
          <w:szCs w:val="18"/>
        </w:rPr>
        <w:t>bypass</w:t>
      </w:r>
      <w:proofErr w:type="gramEnd"/>
      <w:r w:rsidRPr="004145A2">
        <w:rPr>
          <w:rFonts w:asciiTheme="minorHAnsi" w:hAnsiTheme="minorHAnsi" w:cs="Arial"/>
          <w:sz w:val="18"/>
          <w:szCs w:val="18"/>
        </w:rPr>
        <w:t xml:space="preserve"> grafting surgery. Ann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Thorac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Surg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88: S43-62.</w:t>
      </w:r>
    </w:p>
    <w:p w:rsidR="00485DB3" w:rsidRPr="004145A2" w:rsidRDefault="00485DB3" w:rsidP="004145A2">
      <w:pPr>
        <w:ind w:left="170" w:hanging="170"/>
        <w:contextualSpacing/>
        <w:jc w:val="both"/>
        <w:rPr>
          <w:rFonts w:asciiTheme="minorHAnsi" w:hAnsiTheme="minorHAnsi" w:cs="Arial"/>
          <w:sz w:val="18"/>
          <w:szCs w:val="18"/>
        </w:rPr>
      </w:pPr>
      <w:r w:rsidRPr="004145A2">
        <w:rPr>
          <w:rFonts w:asciiTheme="minorHAnsi" w:hAnsiTheme="minorHAnsi" w:cs="Arial"/>
          <w:sz w:val="18"/>
          <w:szCs w:val="18"/>
        </w:rPr>
        <w:t xml:space="preserve">3.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Ranucci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M,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Castelvecchio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S,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Menicanti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L,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Frigiola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A, </w:t>
      </w:r>
      <w:proofErr w:type="spellStart"/>
      <w:r w:rsidRPr="004145A2">
        <w:rPr>
          <w:rFonts w:asciiTheme="minorHAnsi" w:hAnsiTheme="minorHAnsi" w:cs="Arial"/>
          <w:sz w:val="18"/>
          <w:szCs w:val="18"/>
        </w:rPr>
        <w:t>Pelissero</w:t>
      </w:r>
      <w:proofErr w:type="spellEnd"/>
      <w:r w:rsidRPr="004145A2">
        <w:rPr>
          <w:rFonts w:asciiTheme="minorHAnsi" w:hAnsiTheme="minorHAnsi" w:cs="Arial"/>
          <w:sz w:val="18"/>
          <w:szCs w:val="18"/>
        </w:rPr>
        <w:t xml:space="preserve"> G (2009) Risk of assessing mortality risk in elective cardiac operations: age, creatinine, ejection fraction, and the law of parsimony. Circulation 119: 3053-3061. </w:t>
      </w:r>
    </w:p>
    <w:p w:rsidR="00485DB3" w:rsidRPr="004145A2" w:rsidRDefault="00485DB3" w:rsidP="004145A2">
      <w:pPr>
        <w:ind w:left="170" w:hanging="170"/>
        <w:contextualSpacing/>
        <w:jc w:val="both"/>
        <w:rPr>
          <w:rFonts w:asciiTheme="minorHAnsi" w:hAnsiTheme="minorHAnsi"/>
          <w:sz w:val="18"/>
          <w:szCs w:val="18"/>
        </w:rPr>
      </w:pPr>
      <w:r w:rsidRPr="004145A2">
        <w:rPr>
          <w:rFonts w:asciiTheme="minorHAnsi" w:hAnsiTheme="minorHAnsi"/>
          <w:sz w:val="18"/>
          <w:szCs w:val="18"/>
        </w:rPr>
        <w:t xml:space="preserve">4. </w:t>
      </w:r>
      <w:proofErr w:type="spellStart"/>
      <w:r w:rsidRPr="004145A2">
        <w:rPr>
          <w:rFonts w:asciiTheme="minorHAnsi" w:eastAsia="Times New Roman" w:hAnsiTheme="minorHAnsi"/>
          <w:sz w:val="18"/>
          <w:szCs w:val="18"/>
        </w:rPr>
        <w:t>R</w:t>
      </w:r>
      <w:r w:rsidRPr="004145A2">
        <w:rPr>
          <w:rFonts w:asciiTheme="minorHAnsi" w:hAnsiTheme="minorHAnsi"/>
          <w:sz w:val="18"/>
          <w:szCs w:val="18"/>
        </w:rPr>
        <w:t>abe-Hesketh</w:t>
      </w:r>
      <w:proofErr w:type="spellEnd"/>
      <w:r w:rsidRPr="004145A2">
        <w:rPr>
          <w:rFonts w:asciiTheme="minorHAnsi" w:hAnsiTheme="minorHAnsi"/>
          <w:sz w:val="18"/>
          <w:szCs w:val="18"/>
        </w:rPr>
        <w:t xml:space="preserve"> S, </w:t>
      </w:r>
      <w:proofErr w:type="spellStart"/>
      <w:r w:rsidRPr="004145A2">
        <w:rPr>
          <w:rFonts w:asciiTheme="minorHAnsi" w:hAnsiTheme="minorHAnsi"/>
          <w:sz w:val="18"/>
          <w:szCs w:val="18"/>
        </w:rPr>
        <w:t>Skrondal</w:t>
      </w:r>
      <w:proofErr w:type="spellEnd"/>
      <w:r w:rsidRPr="004145A2">
        <w:rPr>
          <w:rFonts w:asciiTheme="minorHAnsi" w:hAnsiTheme="minorHAnsi"/>
          <w:sz w:val="18"/>
          <w:szCs w:val="18"/>
        </w:rPr>
        <w:t xml:space="preserve"> A, </w:t>
      </w:r>
      <w:proofErr w:type="spellStart"/>
      <w:r w:rsidRPr="004145A2">
        <w:rPr>
          <w:rFonts w:asciiTheme="minorHAnsi" w:hAnsiTheme="minorHAnsi"/>
          <w:sz w:val="18"/>
          <w:szCs w:val="18"/>
        </w:rPr>
        <w:t>Pickels</w:t>
      </w:r>
      <w:proofErr w:type="spellEnd"/>
      <w:r w:rsidRPr="004145A2">
        <w:rPr>
          <w:rFonts w:asciiTheme="minorHAnsi" w:hAnsiTheme="minorHAnsi"/>
          <w:sz w:val="18"/>
          <w:szCs w:val="18"/>
        </w:rPr>
        <w:t xml:space="preserve"> A (2004) Generalized multilevel structural equation modelling. </w:t>
      </w:r>
      <w:proofErr w:type="spellStart"/>
      <w:r w:rsidRPr="004145A2">
        <w:rPr>
          <w:rFonts w:asciiTheme="minorHAnsi" w:hAnsiTheme="minorHAnsi"/>
          <w:sz w:val="18"/>
          <w:szCs w:val="18"/>
        </w:rPr>
        <w:t>Psychometrika</w:t>
      </w:r>
      <w:proofErr w:type="spellEnd"/>
      <w:r w:rsidRPr="004145A2">
        <w:rPr>
          <w:rFonts w:asciiTheme="minorHAnsi" w:hAnsiTheme="minorHAnsi"/>
          <w:sz w:val="18"/>
          <w:szCs w:val="18"/>
        </w:rPr>
        <w:t xml:space="preserve"> 69: 167-190.</w:t>
      </w:r>
    </w:p>
    <w:p w:rsidR="00485DB3" w:rsidRPr="004145A2" w:rsidRDefault="00485DB3" w:rsidP="004145A2">
      <w:pPr>
        <w:ind w:left="170" w:hanging="170"/>
        <w:contextualSpacing/>
        <w:jc w:val="both"/>
        <w:rPr>
          <w:rFonts w:asciiTheme="minorHAnsi" w:hAnsiTheme="minorHAnsi"/>
          <w:sz w:val="18"/>
          <w:szCs w:val="18"/>
        </w:rPr>
      </w:pPr>
      <w:r w:rsidRPr="004145A2">
        <w:rPr>
          <w:rFonts w:asciiTheme="minorHAnsi" w:hAnsiTheme="minorHAnsi"/>
          <w:sz w:val="18"/>
          <w:szCs w:val="18"/>
        </w:rPr>
        <w:t xml:space="preserve">5. Kua J, Zhao LP, Kofidis T, Chan SP, Yeo TC, et al. (2015) Sleep apnea is a risk factor for acute kidney injury after coronary artery bypass grafting. </w:t>
      </w:r>
      <w:proofErr w:type="spellStart"/>
      <w:r w:rsidRPr="004145A2">
        <w:rPr>
          <w:rFonts w:asciiTheme="minorHAnsi" w:hAnsiTheme="minorHAnsi"/>
          <w:sz w:val="18"/>
          <w:szCs w:val="18"/>
        </w:rPr>
        <w:t>Eur</w:t>
      </w:r>
      <w:proofErr w:type="spellEnd"/>
      <w:r w:rsidRPr="004145A2">
        <w:rPr>
          <w:rFonts w:asciiTheme="minorHAnsi" w:hAnsiTheme="minorHAnsi"/>
          <w:sz w:val="18"/>
          <w:szCs w:val="18"/>
        </w:rPr>
        <w:t xml:space="preserve"> J Cardio-</w:t>
      </w:r>
      <w:proofErr w:type="spellStart"/>
      <w:r w:rsidRPr="004145A2">
        <w:rPr>
          <w:rFonts w:asciiTheme="minorHAnsi" w:hAnsiTheme="minorHAnsi"/>
          <w:sz w:val="18"/>
          <w:szCs w:val="18"/>
        </w:rPr>
        <w:t>thorac</w:t>
      </w:r>
      <w:proofErr w:type="spellEnd"/>
      <w:r w:rsidRPr="004145A2">
        <w:rPr>
          <w:rFonts w:asciiTheme="minorHAnsi" w:hAnsiTheme="minorHAnsi"/>
          <w:sz w:val="18"/>
          <w:szCs w:val="18"/>
        </w:rPr>
        <w:t xml:space="preserve"> 49: 1188-1194.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E14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E35B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>
        <w:rPr>
          <w:noProof/>
        </w:rPr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14AD8" w:rsidRDefault="00AE35B7" w:rsidP="00AE35B7">
      <w:pPr>
        <w:spacing w:before="41" w:line="154" w:lineRule="exact"/>
        <w:ind w:right="231" w:firstLine="720"/>
        <w:jc w:val="both"/>
        <w:rPr>
          <w:rFonts w:ascii="Arial"/>
          <w:sz w:val="14"/>
        </w:rPr>
      </w:pPr>
      <w:r>
        <w:rPr>
          <w:rFonts w:ascii="Arial"/>
          <w:sz w:val="14"/>
        </w:rPr>
        <w:t>Dr Chan holds a PhD</w:t>
      </w:r>
      <w:r w:rsidR="004145A2">
        <w:rPr>
          <w:rFonts w:ascii="Arial"/>
          <w:sz w:val="14"/>
        </w:rPr>
        <w:t xml:space="preserve"> in medical decision analysis</w:t>
      </w:r>
      <w:r w:rsidR="00A9710C">
        <w:rPr>
          <w:rFonts w:ascii="Arial"/>
          <w:sz w:val="14"/>
        </w:rPr>
        <w:t>.</w:t>
      </w:r>
      <w:r w:rsidR="004145A2">
        <w:rPr>
          <w:rFonts w:ascii="Arial"/>
          <w:sz w:val="14"/>
        </w:rPr>
        <w:t xml:space="preserve"> Currently an assistant director at the Department of Medicine, Yong Loo Lin School of Medicine, National </w:t>
      </w:r>
    </w:p>
    <w:p w:rsidR="00F14AD8" w:rsidRDefault="004145A2" w:rsidP="00AE35B7">
      <w:pPr>
        <w:spacing w:before="41" w:line="154" w:lineRule="exact"/>
        <w:ind w:right="231" w:firstLine="720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University of Singapore, Dr Chan is also an honorary fellow of the College of Science, Health &amp; Engineering, </w:t>
      </w:r>
      <w:proofErr w:type="gramStart"/>
      <w:r>
        <w:rPr>
          <w:rFonts w:ascii="Arial"/>
          <w:sz w:val="14"/>
        </w:rPr>
        <w:t>La</w:t>
      </w:r>
      <w:proofErr w:type="gramEnd"/>
      <w:r>
        <w:rPr>
          <w:rFonts w:ascii="Arial"/>
          <w:sz w:val="14"/>
        </w:rPr>
        <w:t xml:space="preserve"> Trobe University, where he taught from 2010 </w:t>
      </w:r>
    </w:p>
    <w:p w:rsidR="00F14AD8" w:rsidRDefault="004145A2" w:rsidP="00AE35B7">
      <w:pPr>
        <w:spacing w:before="41" w:line="154" w:lineRule="exact"/>
        <w:ind w:right="231" w:firstLine="720"/>
        <w:jc w:val="both"/>
        <w:rPr>
          <w:rFonts w:ascii="Arial"/>
          <w:sz w:val="14"/>
        </w:rPr>
      </w:pPr>
      <w:proofErr w:type="gramStart"/>
      <w:r>
        <w:rPr>
          <w:rFonts w:ascii="Arial"/>
          <w:sz w:val="14"/>
        </w:rPr>
        <w:t>to</w:t>
      </w:r>
      <w:proofErr w:type="gramEnd"/>
      <w:r>
        <w:rPr>
          <w:rFonts w:ascii="Arial"/>
          <w:sz w:val="14"/>
        </w:rPr>
        <w:t xml:space="preserve"> 2013. He strongly advocates the applications of </w:t>
      </w:r>
      <w:r w:rsidR="004D1CFD">
        <w:rPr>
          <w:rFonts w:ascii="Arial"/>
          <w:sz w:val="14"/>
        </w:rPr>
        <w:t xml:space="preserve">Bayesian techniques and </w:t>
      </w:r>
      <w:r>
        <w:rPr>
          <w:rFonts w:ascii="Arial"/>
          <w:sz w:val="14"/>
        </w:rPr>
        <w:t>structural equation model</w:t>
      </w:r>
      <w:r w:rsidR="00F14AD8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in </w:t>
      </w:r>
      <w:r w:rsidR="005F6925">
        <w:rPr>
          <w:rFonts w:ascii="Arial"/>
          <w:sz w:val="14"/>
        </w:rPr>
        <w:t>bio</w:t>
      </w:r>
      <w:r>
        <w:rPr>
          <w:rFonts w:ascii="Arial"/>
          <w:sz w:val="14"/>
        </w:rPr>
        <w:t>medical research</w:t>
      </w:r>
      <w:r w:rsidR="005F6925">
        <w:rPr>
          <w:rFonts w:ascii="Arial"/>
          <w:sz w:val="14"/>
        </w:rPr>
        <w:t>, and has</w:t>
      </w:r>
      <w:r w:rsidR="004D1CFD">
        <w:rPr>
          <w:rFonts w:ascii="Arial"/>
          <w:sz w:val="14"/>
        </w:rPr>
        <w:t xml:space="preserve"> </w:t>
      </w:r>
      <w:r w:rsidR="005F6925">
        <w:rPr>
          <w:rFonts w:ascii="Arial"/>
          <w:sz w:val="14"/>
        </w:rPr>
        <w:t xml:space="preserve">published over 120 </w:t>
      </w:r>
    </w:p>
    <w:p w:rsidR="00AE3E37" w:rsidRDefault="005F6925" w:rsidP="00AE35B7">
      <w:pPr>
        <w:spacing w:before="41" w:line="154" w:lineRule="exact"/>
        <w:ind w:right="231" w:firstLine="720"/>
        <w:jc w:val="both"/>
        <w:rPr>
          <w:rFonts w:ascii="Arial"/>
          <w:sz w:val="14"/>
        </w:rPr>
      </w:pPr>
      <w:proofErr w:type="gramStart"/>
      <w:r>
        <w:rPr>
          <w:rFonts w:ascii="Arial"/>
          <w:sz w:val="14"/>
        </w:rPr>
        <w:t>papers</w:t>
      </w:r>
      <w:proofErr w:type="gramEnd"/>
      <w:r>
        <w:rPr>
          <w:rFonts w:ascii="Arial"/>
          <w:sz w:val="14"/>
        </w:rPr>
        <w:t xml:space="preserve"> in peer-reviewed journals to date</w:t>
      </w:r>
      <w:r w:rsidR="004145A2">
        <w:rPr>
          <w:rFonts w:ascii="Arial"/>
          <w:sz w:val="14"/>
        </w:rPr>
        <w:t xml:space="preserve">.  </w:t>
      </w:r>
    </w:p>
    <w:p w:rsidR="004145A2" w:rsidRDefault="004145A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4145A2" w:rsidRPr="00C428FB">
          <w:rPr>
            <w:rStyle w:val="Hyperlink"/>
            <w:rFonts w:ascii="Arial"/>
            <w:sz w:val="14"/>
          </w:rPr>
          <w:t>mdccsp@nus.edu.sg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D5B3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6AE" w:rsidRDefault="005B06AE">
      <w:r>
        <w:separator/>
      </w:r>
    </w:p>
  </w:endnote>
  <w:endnote w:type="continuationSeparator" w:id="0">
    <w:p w:rsidR="005B06AE" w:rsidRDefault="005B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6AE" w:rsidRDefault="005B06AE">
      <w:r>
        <w:separator/>
      </w:r>
    </w:p>
  </w:footnote>
  <w:footnote w:type="continuationSeparator" w:id="0">
    <w:p w:rsidR="005B06AE" w:rsidRDefault="005B0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92ED9"/>
    <w:rsid w:val="00404E5B"/>
    <w:rsid w:val="004145A2"/>
    <w:rsid w:val="00414F7B"/>
    <w:rsid w:val="004355DC"/>
    <w:rsid w:val="004749B4"/>
    <w:rsid w:val="00485DB3"/>
    <w:rsid w:val="00494130"/>
    <w:rsid w:val="004D1CFD"/>
    <w:rsid w:val="004F3523"/>
    <w:rsid w:val="005973B9"/>
    <w:rsid w:val="005B06AE"/>
    <w:rsid w:val="005B3A56"/>
    <w:rsid w:val="005F6925"/>
    <w:rsid w:val="006060CE"/>
    <w:rsid w:val="0063497F"/>
    <w:rsid w:val="00873DF0"/>
    <w:rsid w:val="008756E6"/>
    <w:rsid w:val="008932CA"/>
    <w:rsid w:val="009B2D44"/>
    <w:rsid w:val="00A07E82"/>
    <w:rsid w:val="00A9710C"/>
    <w:rsid w:val="00AE35B7"/>
    <w:rsid w:val="00AE3E37"/>
    <w:rsid w:val="00B21A57"/>
    <w:rsid w:val="00C12B87"/>
    <w:rsid w:val="00C33602"/>
    <w:rsid w:val="00C4723C"/>
    <w:rsid w:val="00CD6F55"/>
    <w:rsid w:val="00DE3104"/>
    <w:rsid w:val="00E22F07"/>
    <w:rsid w:val="00F14AD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FDD1B7-7760-4C33-935D-23BFF4EA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dccsp@nus.edu.s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Chan Siew Pang</cp:lastModifiedBy>
  <cp:revision>3</cp:revision>
  <dcterms:created xsi:type="dcterms:W3CDTF">2017-07-03T08:34:00Z</dcterms:created>
  <dcterms:modified xsi:type="dcterms:W3CDTF">2017-07-03T08:35:00Z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