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CB2463" w:rsidRPr="00F947B8" w:rsidRDefault="00CB2463" w:rsidP="00CB2463">
      <w:pPr>
        <w:jc w:val="both"/>
        <w:rPr>
          <w:b/>
          <w:bCs/>
          <w:sz w:val="28"/>
          <w:szCs w:val="28"/>
          <w:vertAlign w:val="superscript"/>
        </w:rPr>
      </w:pPr>
      <w:r w:rsidRPr="00F947B8">
        <w:rPr>
          <w:b/>
          <w:bCs/>
          <w:sz w:val="28"/>
          <w:szCs w:val="28"/>
        </w:rPr>
        <w:lastRenderedPageBreak/>
        <w:t xml:space="preserve">In silco analysis of </w:t>
      </w:r>
      <w:r w:rsidRPr="00F947B8">
        <w:rPr>
          <w:b/>
          <w:bCs/>
          <w:i/>
          <w:sz w:val="28"/>
          <w:szCs w:val="28"/>
        </w:rPr>
        <w:t xml:space="preserve">HAND </w:t>
      </w:r>
      <w:r w:rsidRPr="00F947B8">
        <w:rPr>
          <w:b/>
          <w:i/>
          <w:sz w:val="28"/>
          <w:szCs w:val="28"/>
        </w:rPr>
        <w:t>transcription factor</w:t>
      </w:r>
      <w:r w:rsidRPr="00F947B8">
        <w:rPr>
          <w:b/>
          <w:bCs/>
          <w:sz w:val="28"/>
          <w:szCs w:val="28"/>
        </w:rPr>
        <w:t xml:space="preserve"> </w:t>
      </w:r>
      <w:r w:rsidRPr="00F947B8">
        <w:rPr>
          <w:rFonts w:eastAsia="Calibri"/>
          <w:b/>
          <w:sz w:val="28"/>
          <w:szCs w:val="28"/>
          <w:lang w:val="en-IN"/>
        </w:rPr>
        <w:t>modulated during cardiac hypertrophy</w:t>
      </w:r>
    </w:p>
    <w:p w:rsidR="00CB2463" w:rsidRDefault="00CB2463" w:rsidP="00CB2463">
      <w:pPr>
        <w:spacing w:line="360" w:lineRule="auto"/>
        <w:jc w:val="both"/>
        <w:rPr>
          <w:b/>
          <w:bCs/>
          <w:sz w:val="19"/>
          <w:szCs w:val="19"/>
          <w:lang w:val="en-IN" w:eastAsia="en-IN"/>
        </w:rPr>
      </w:pPr>
    </w:p>
    <w:p w:rsidR="00CB2463" w:rsidRPr="00247F6A" w:rsidRDefault="00CB2463" w:rsidP="00CB2463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CB2463" w:rsidRPr="005E10EC" w:rsidRDefault="00CB2463" w:rsidP="00CB2463">
      <w:pPr>
        <w:jc w:val="both"/>
        <w:rPr>
          <w:b/>
          <w:sz w:val="19"/>
          <w:szCs w:val="19"/>
          <w:lang w:val="en-IN" w:eastAsia="en-IN"/>
        </w:rPr>
      </w:pPr>
      <w:r>
        <w:rPr>
          <w:b/>
          <w:sz w:val="19"/>
          <w:szCs w:val="19"/>
          <w:lang w:val="en-IN" w:eastAsia="en-IN"/>
        </w:rPr>
        <w:t>Department of Biotechnology, Assam University, Silchar-788011</w:t>
      </w:r>
    </w:p>
    <w:p w:rsidR="00CB2463" w:rsidRPr="005E10EC" w:rsidRDefault="00CB2463" w:rsidP="00CB2463">
      <w:pPr>
        <w:jc w:val="both"/>
        <w:rPr>
          <w:b/>
          <w:sz w:val="19"/>
          <w:szCs w:val="19"/>
          <w:lang w:val="en-IN" w:eastAsia="en-IN"/>
        </w:rPr>
      </w:pPr>
      <w:r>
        <w:rPr>
          <w:b/>
          <w:sz w:val="19"/>
          <w:szCs w:val="19"/>
          <w:lang w:val="en-IN" w:eastAsia="en-IN"/>
        </w:rPr>
        <w:t>School of Life Sciences, Assam University, Silchar-788011</w:t>
      </w: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CB2463" w:rsidRPr="00E917EC" w:rsidRDefault="00CB2463" w:rsidP="00CB2463">
      <w:pPr>
        <w:pStyle w:val="keywords"/>
        <w:ind w:firstLine="0"/>
        <w:rPr>
          <w:bCs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HAND1, HAND2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bHLH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Pr="00E917EC">
        <w:rPr>
          <w:bCs w:val="0"/>
          <w:iCs w:val="0"/>
          <w:noProof w:val="0"/>
          <w:sz w:val="19"/>
          <w:szCs w:val="19"/>
          <w:lang w:val="en-IN" w:eastAsia="en-IN"/>
        </w:rPr>
        <w:t>Transcription Factor, Gene expression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CB2463" w:rsidRPr="00CB2463" w:rsidRDefault="00CB2463" w:rsidP="00CB2463">
      <w:pPr>
        <w:jc w:val="both"/>
        <w:rPr>
          <w:bCs/>
          <w:i/>
        </w:rPr>
      </w:pPr>
      <w:r w:rsidRPr="00CB2463">
        <w:rPr>
          <w:rFonts w:eastAsia="Calibri"/>
          <w:lang w:val="en-IN"/>
        </w:rPr>
        <w:t>The</w:t>
      </w:r>
      <w:r w:rsidRPr="00CB2463">
        <w:rPr>
          <w:rFonts w:eastAsia="Calibri"/>
          <w:i/>
          <w:lang w:val="en-IN"/>
        </w:rPr>
        <w:t xml:space="preserve"> HAND (</w:t>
      </w:r>
      <w:r w:rsidRPr="00CB2463">
        <w:rPr>
          <w:i/>
        </w:rPr>
        <w:t>Heart and neural crest derivatives)</w:t>
      </w:r>
      <w:r w:rsidRPr="00CB2463">
        <w:rPr>
          <w:rFonts w:eastAsia="Calibri"/>
          <w:i/>
          <w:lang w:val="en-IN"/>
        </w:rPr>
        <w:t xml:space="preserve"> </w:t>
      </w:r>
      <w:r w:rsidRPr="00CB2463">
        <w:rPr>
          <w:rFonts w:eastAsia="Calibri"/>
          <w:lang w:val="en-IN"/>
        </w:rPr>
        <w:t>is a</w:t>
      </w:r>
      <w:r w:rsidRPr="00CB2463">
        <w:rPr>
          <w:rFonts w:eastAsia="Calibri"/>
          <w:i/>
          <w:lang w:val="en-IN"/>
        </w:rPr>
        <w:t xml:space="preserve"> basic helix-loop-helix (bHLH) transcription factor </w:t>
      </w:r>
      <w:r w:rsidRPr="00CB2463">
        <w:rPr>
          <w:rFonts w:eastAsia="Calibri"/>
          <w:lang w:val="en-IN"/>
        </w:rPr>
        <w:t xml:space="preserve">essential for normal cardiac and extra-embryonic development. In spite of their high evolutionarily conserved genetic function, expressions of these factors differ subtly across species. Cardiac hypertrophy demonstrated </w:t>
      </w:r>
      <w:r w:rsidRPr="00CB2463">
        <w:rPr>
          <w:rFonts w:eastAsia="Calibri"/>
          <w:i/>
          <w:lang w:val="en-IN"/>
        </w:rPr>
        <w:t>HAND1</w:t>
      </w:r>
      <w:r w:rsidRPr="00CB2463">
        <w:rPr>
          <w:rFonts w:eastAsia="Calibri"/>
          <w:lang w:val="en-IN"/>
        </w:rPr>
        <w:t xml:space="preserve"> downregulated corresponding to cardiomyopathy and </w:t>
      </w:r>
      <w:r w:rsidRPr="00CB2463">
        <w:rPr>
          <w:rFonts w:eastAsia="Calibri"/>
          <w:i/>
          <w:lang w:val="en-IN"/>
        </w:rPr>
        <w:t>HAND2</w:t>
      </w:r>
      <w:r w:rsidRPr="00CB2463">
        <w:rPr>
          <w:rFonts w:eastAsia="Calibri"/>
          <w:lang w:val="en-IN"/>
        </w:rPr>
        <w:t xml:space="preserve"> is expressed in atria. The downregulation expression observed in human cardiomyopathy reflects a permissive role. Cardiomyocytes (</w:t>
      </w:r>
      <w:r w:rsidRPr="00CB2463">
        <w:rPr>
          <w:rStyle w:val="ilfuvd"/>
          <w:rFonts w:eastAsia="MS Mincho"/>
        </w:rPr>
        <w:t>cardiac myocytes)</w:t>
      </w:r>
      <w:r w:rsidRPr="00CB2463">
        <w:rPr>
          <w:rFonts w:eastAsia="Calibri"/>
          <w:lang w:val="en-IN"/>
        </w:rPr>
        <w:t xml:space="preserve"> reinitiate fetal gene program and initiate adaptive physiological changes, which allow heart to compensate. </w:t>
      </w:r>
      <w:r w:rsidRPr="00CB2463">
        <w:rPr>
          <w:color w:val="000000"/>
        </w:rPr>
        <w:t xml:space="preserve">Therefore, a great deal of research is required for identification of </w:t>
      </w:r>
      <w:r w:rsidRPr="00CB2463">
        <w:rPr>
          <w:i/>
          <w:color w:val="000000"/>
        </w:rPr>
        <w:t>HAND</w:t>
      </w:r>
      <w:r w:rsidRPr="00CB2463">
        <w:rPr>
          <w:color w:val="000000"/>
        </w:rPr>
        <w:t xml:space="preserve"> gene and their specific </w:t>
      </w:r>
      <w:r w:rsidRPr="00CB2463">
        <w:rPr>
          <w:i/>
          <w:color w:val="000000"/>
        </w:rPr>
        <w:t>bHLH</w:t>
      </w:r>
      <w:r w:rsidRPr="00CB2463">
        <w:rPr>
          <w:color w:val="000000"/>
        </w:rPr>
        <w:t xml:space="preserve"> </w:t>
      </w:r>
      <w:r w:rsidRPr="00CB2463">
        <w:rPr>
          <w:i/>
          <w:color w:val="000000"/>
        </w:rPr>
        <w:t>domain</w:t>
      </w:r>
      <w:r w:rsidRPr="00CB2463">
        <w:rPr>
          <w:color w:val="000000"/>
        </w:rPr>
        <w:t xml:space="preserve">. The genomic complement of </w:t>
      </w:r>
      <w:r w:rsidRPr="00CB2463">
        <w:rPr>
          <w:i/>
          <w:color w:val="000000"/>
        </w:rPr>
        <w:t>bHLH</w:t>
      </w:r>
      <w:r w:rsidRPr="00CB2463">
        <w:rPr>
          <w:color w:val="000000"/>
        </w:rPr>
        <w:t xml:space="preserve"> </w:t>
      </w:r>
      <w:r w:rsidRPr="00CB2463">
        <w:rPr>
          <w:i/>
          <w:color w:val="000000"/>
        </w:rPr>
        <w:t>transcription factor</w:t>
      </w:r>
      <w:r w:rsidRPr="00CB2463">
        <w:rPr>
          <w:color w:val="000000"/>
        </w:rPr>
        <w:t xml:space="preserve"> is an essential component for identification of the specific gene. </w:t>
      </w:r>
      <w:r w:rsidRPr="00CB2463">
        <w:rPr>
          <w:rFonts w:eastAsia="Calibri"/>
          <w:lang w:val="en-IN"/>
        </w:rPr>
        <w:t xml:space="preserve">Our investigation suggested that the number of </w:t>
      </w:r>
      <w:r w:rsidRPr="00CB2463">
        <w:rPr>
          <w:rFonts w:eastAsia="Calibri"/>
          <w:i/>
          <w:lang w:val="en-IN"/>
        </w:rPr>
        <w:t xml:space="preserve">HAND </w:t>
      </w:r>
      <w:r w:rsidRPr="00CB2463">
        <w:rPr>
          <w:rFonts w:eastAsia="Calibri"/>
          <w:lang w:val="en-IN"/>
        </w:rPr>
        <w:t xml:space="preserve">gene and their </w:t>
      </w:r>
      <w:r w:rsidRPr="00CB2463">
        <w:rPr>
          <w:rFonts w:eastAsia="Calibri"/>
          <w:i/>
          <w:lang w:val="en-IN"/>
        </w:rPr>
        <w:t>bHLH</w:t>
      </w:r>
      <w:r w:rsidRPr="00CB2463">
        <w:rPr>
          <w:rFonts w:eastAsia="Calibri"/>
          <w:lang w:val="en-IN"/>
        </w:rPr>
        <w:t xml:space="preserve"> </w:t>
      </w:r>
      <w:r w:rsidRPr="00CB2463">
        <w:rPr>
          <w:rFonts w:eastAsia="Calibri"/>
          <w:i/>
          <w:lang w:val="en-IN"/>
        </w:rPr>
        <w:t>domain</w:t>
      </w:r>
      <w:r w:rsidRPr="00CB2463">
        <w:rPr>
          <w:rFonts w:eastAsia="Calibri"/>
          <w:lang w:val="en-IN"/>
        </w:rPr>
        <w:t xml:space="preserve"> in </w:t>
      </w:r>
      <w:r w:rsidRPr="00CB2463">
        <w:rPr>
          <w:rFonts w:eastAsia="Calibri"/>
          <w:i/>
          <w:lang w:val="en-IN"/>
        </w:rPr>
        <w:t xml:space="preserve">eukaryotes. </w:t>
      </w:r>
      <w:r w:rsidRPr="00CB2463">
        <w:rPr>
          <w:iCs/>
          <w:color w:val="000000"/>
        </w:rPr>
        <w:t xml:space="preserve">The conserved </w:t>
      </w:r>
      <w:r w:rsidRPr="00CB2463">
        <w:rPr>
          <w:i/>
          <w:iCs/>
          <w:color w:val="000000"/>
        </w:rPr>
        <w:t>bHLH domain</w:t>
      </w:r>
      <w:r w:rsidRPr="00CB2463">
        <w:rPr>
          <w:iCs/>
          <w:color w:val="000000"/>
        </w:rPr>
        <w:t>,</w:t>
      </w:r>
      <w:r w:rsidRPr="00CB2463">
        <w:rPr>
          <w:rFonts w:eastAsia="Calibri"/>
          <w:lang w:val="en-IN"/>
        </w:rPr>
        <w:t xml:space="preserve"> </w:t>
      </w:r>
      <w:r w:rsidRPr="00CB2463">
        <w:rPr>
          <w:rFonts w:eastAsia="Calibri"/>
          <w:i/>
          <w:lang w:val="en-IN"/>
        </w:rPr>
        <w:t>motifs, phylogeny, chromosome</w:t>
      </w:r>
      <w:r w:rsidRPr="00CB2463">
        <w:rPr>
          <w:rFonts w:eastAsia="Calibri"/>
          <w:lang w:val="en-IN"/>
        </w:rPr>
        <w:t xml:space="preserve"> </w:t>
      </w:r>
      <w:r w:rsidRPr="00CB2463">
        <w:rPr>
          <w:rFonts w:eastAsia="Calibri"/>
          <w:i/>
          <w:lang w:val="en-IN"/>
        </w:rPr>
        <w:t>location</w:t>
      </w:r>
      <w:r w:rsidRPr="00CB2463">
        <w:rPr>
          <w:rFonts w:eastAsia="Calibri"/>
          <w:lang w:val="en-IN"/>
        </w:rPr>
        <w:t xml:space="preserve"> and </w:t>
      </w:r>
      <w:r w:rsidRPr="00CB2463">
        <w:rPr>
          <w:rFonts w:eastAsia="Calibri"/>
          <w:i/>
          <w:lang w:val="en-IN"/>
        </w:rPr>
        <w:t xml:space="preserve">expression </w:t>
      </w:r>
      <w:r w:rsidRPr="00CB2463">
        <w:rPr>
          <w:rFonts w:eastAsia="Calibri"/>
          <w:lang w:val="en-IN"/>
        </w:rPr>
        <w:t xml:space="preserve">analysis demonstrated </w:t>
      </w:r>
      <w:r w:rsidRPr="00CB2463">
        <w:rPr>
          <w:rFonts w:eastAsia="Calibri"/>
          <w:i/>
          <w:lang w:val="en-IN"/>
        </w:rPr>
        <w:t xml:space="preserve">HAND </w:t>
      </w:r>
      <w:r w:rsidRPr="00CB2463">
        <w:rPr>
          <w:rFonts w:eastAsia="Calibri"/>
          <w:lang w:val="en-IN"/>
        </w:rPr>
        <w:t xml:space="preserve">gene is responsible for </w:t>
      </w:r>
      <w:r w:rsidRPr="00CB2463">
        <w:t>cardiac development</w:t>
      </w:r>
      <w:r w:rsidRPr="00CB2463">
        <w:rPr>
          <w:rFonts w:eastAsia="Calibri"/>
          <w:lang w:val="en-IN"/>
        </w:rPr>
        <w:t xml:space="preserve">. </w:t>
      </w:r>
      <w:r w:rsidRPr="00CB2463">
        <w:rPr>
          <w:bCs/>
        </w:rPr>
        <w:t xml:space="preserve">In this study, we performed bioinformatics and computational techniques together information on </w:t>
      </w:r>
      <w:r w:rsidRPr="00CB2463">
        <w:rPr>
          <w:rFonts w:eastAsia="Calibri"/>
          <w:i/>
          <w:iCs/>
          <w:lang w:val="en-IN"/>
        </w:rPr>
        <w:t xml:space="preserve">HAND </w:t>
      </w:r>
      <w:r w:rsidRPr="00CB2463">
        <w:rPr>
          <w:rFonts w:eastAsia="Calibri"/>
          <w:i/>
          <w:lang w:val="en-IN"/>
        </w:rPr>
        <w:t>transcription factor</w:t>
      </w:r>
      <w:r w:rsidRPr="00CB2463">
        <w:rPr>
          <w:rFonts w:eastAsia="Calibri"/>
          <w:lang w:val="en-IN"/>
        </w:rPr>
        <w:t xml:space="preserve"> </w:t>
      </w:r>
      <w:r w:rsidRPr="00CB2463">
        <w:rPr>
          <w:bCs/>
        </w:rPr>
        <w:t xml:space="preserve">in </w:t>
      </w:r>
      <w:r w:rsidRPr="00CB2463">
        <w:rPr>
          <w:bCs/>
          <w:i/>
        </w:rPr>
        <w:t>mammals.</w:t>
      </w:r>
    </w:p>
    <w:p w:rsidR="00861508" w:rsidRPr="0005164C" w:rsidRDefault="00861508" w:rsidP="005A3B2A">
      <w:pPr>
        <w:rPr>
          <w:sz w:val="19"/>
          <w:szCs w:val="19"/>
        </w:rPr>
      </w:pPr>
    </w:p>
    <w:p w:rsidR="005841A1" w:rsidRPr="00CB2463" w:rsidRDefault="00CB2463" w:rsidP="00CB2463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809875" cy="2900516"/>
            <wp:effectExtent l="19050" t="0" r="9525" b="0"/>
            <wp:docPr id="2" name="Picture 1" descr="800px-2037_Embryonic_Development_of_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00px-2037_Embryonic_Development_of_Hear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900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Reference</w:t>
      </w:r>
    </w:p>
    <w:p w:rsidR="009500F6" w:rsidRPr="009500F6" w:rsidRDefault="009500F6" w:rsidP="009500F6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0" w:name="2"/>
      <w:bookmarkEnd w:id="0"/>
      <w:r w:rsidRPr="009500F6">
        <w:rPr>
          <w:rFonts w:ascii="Times New Roman" w:hAnsi="Times New Roman"/>
          <w:sz w:val="20"/>
          <w:szCs w:val="20"/>
        </w:rPr>
        <w:t xml:space="preserve">Natarajan, A., et al., </w:t>
      </w:r>
      <w:r w:rsidRPr="009500F6">
        <w:rPr>
          <w:rFonts w:ascii="Times New Roman" w:hAnsi="Times New Roman"/>
          <w:i/>
          <w:sz w:val="20"/>
          <w:szCs w:val="20"/>
        </w:rPr>
        <w:t>Human eHAND, but not dHAND, is down-regulated in cardiomyopathies.</w:t>
      </w:r>
      <w:r w:rsidRPr="009500F6">
        <w:rPr>
          <w:rFonts w:ascii="Times New Roman" w:hAnsi="Times New Roman"/>
          <w:sz w:val="20"/>
          <w:szCs w:val="20"/>
        </w:rPr>
        <w:t xml:space="preserve"> Journal of molecular and cellular cardiology, 2001. </w:t>
      </w:r>
      <w:r w:rsidRPr="009500F6">
        <w:rPr>
          <w:rFonts w:ascii="Times New Roman" w:hAnsi="Times New Roman"/>
          <w:b/>
          <w:sz w:val="20"/>
          <w:szCs w:val="20"/>
        </w:rPr>
        <w:t>33</w:t>
      </w:r>
      <w:r w:rsidRPr="009500F6">
        <w:rPr>
          <w:rFonts w:ascii="Times New Roman" w:hAnsi="Times New Roman"/>
          <w:sz w:val="20"/>
          <w:szCs w:val="20"/>
        </w:rPr>
        <w:t>(9): p. 1607-1614.</w:t>
      </w:r>
    </w:p>
    <w:p w:rsidR="005A3B2A" w:rsidRPr="009500F6" w:rsidRDefault="009500F6" w:rsidP="005A3B2A">
      <w:pPr>
        <w:pStyle w:val="EndNoteBibliography"/>
        <w:numPr>
          <w:ilvl w:val="0"/>
          <w:numId w:val="26"/>
        </w:numPr>
        <w:spacing w:after="0" w:line="276" w:lineRule="auto"/>
        <w:rPr>
          <w:rFonts w:ascii="Times New Roman" w:hAnsi="Times New Roman"/>
          <w:sz w:val="20"/>
          <w:szCs w:val="20"/>
        </w:rPr>
      </w:pPr>
      <w:r w:rsidRPr="009500F6">
        <w:rPr>
          <w:rFonts w:ascii="Times New Roman" w:hAnsi="Times New Roman"/>
          <w:sz w:val="20"/>
          <w:szCs w:val="20"/>
        </w:rPr>
        <w:t xml:space="preserve">Srivastava, D., P. Cserjesi, and E.N. Olson, </w:t>
      </w:r>
      <w:r w:rsidRPr="009500F6">
        <w:rPr>
          <w:rFonts w:ascii="Times New Roman" w:hAnsi="Times New Roman"/>
          <w:i/>
          <w:sz w:val="20"/>
          <w:szCs w:val="20"/>
        </w:rPr>
        <w:t>A subclass of bHLH proteins required for cardiac morphogenesis.</w:t>
      </w:r>
      <w:r w:rsidRPr="009500F6">
        <w:rPr>
          <w:rFonts w:ascii="Times New Roman" w:hAnsi="Times New Roman"/>
          <w:sz w:val="20"/>
          <w:szCs w:val="20"/>
        </w:rPr>
        <w:t xml:space="preserve"> Science, 1995. </w:t>
      </w:r>
      <w:r w:rsidRPr="009500F6">
        <w:rPr>
          <w:rFonts w:ascii="Times New Roman" w:hAnsi="Times New Roman"/>
          <w:b/>
          <w:sz w:val="20"/>
          <w:szCs w:val="20"/>
        </w:rPr>
        <w:t>270</w:t>
      </w:r>
      <w:r w:rsidRPr="009500F6">
        <w:rPr>
          <w:rFonts w:ascii="Times New Roman" w:hAnsi="Times New Roman"/>
          <w:sz w:val="20"/>
          <w:szCs w:val="20"/>
        </w:rPr>
        <w:t>(5244).</w:t>
      </w:r>
    </w:p>
    <w:p w:rsidR="009500F6" w:rsidRPr="009500F6" w:rsidRDefault="009500F6" w:rsidP="009500F6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9500F6">
        <w:rPr>
          <w:rFonts w:ascii="Times New Roman" w:hAnsi="Times New Roman"/>
          <w:sz w:val="20"/>
          <w:szCs w:val="20"/>
        </w:rPr>
        <w:t xml:space="preserve">Thattaliyath, B.D., et al., </w:t>
      </w:r>
      <w:r w:rsidRPr="009500F6">
        <w:rPr>
          <w:rFonts w:ascii="Times New Roman" w:hAnsi="Times New Roman"/>
          <w:i/>
          <w:sz w:val="20"/>
          <w:szCs w:val="20"/>
        </w:rPr>
        <w:t>HAND1 and HAND2 are expressed in the adult-rodent heart and are modulated during cardiac hypertrophy.</w:t>
      </w:r>
      <w:r w:rsidRPr="009500F6">
        <w:rPr>
          <w:rFonts w:ascii="Times New Roman" w:hAnsi="Times New Roman"/>
          <w:sz w:val="20"/>
          <w:szCs w:val="20"/>
        </w:rPr>
        <w:t xml:space="preserve"> Biochemical and biophysical research communications, 2002.</w:t>
      </w:r>
      <w:r>
        <w:rPr>
          <w:rFonts w:ascii="Times New Roman" w:hAnsi="Times New Roman"/>
          <w:sz w:val="20"/>
          <w:szCs w:val="20"/>
        </w:rPr>
        <w:t xml:space="preserve"> </w:t>
      </w:r>
      <w:r w:rsidRPr="009500F6">
        <w:rPr>
          <w:rFonts w:ascii="Times New Roman" w:hAnsi="Times New Roman"/>
          <w:b/>
          <w:sz w:val="20"/>
          <w:szCs w:val="20"/>
        </w:rPr>
        <w:t>297</w:t>
      </w:r>
      <w:r w:rsidRPr="009500F6">
        <w:rPr>
          <w:rFonts w:ascii="Times New Roman" w:hAnsi="Times New Roman"/>
          <w:sz w:val="20"/>
          <w:szCs w:val="20"/>
        </w:rPr>
        <w:t>(4): p. 870-875.</w:t>
      </w: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861508" w:rsidRPr="00CB2463" w:rsidRDefault="00CB2463" w:rsidP="00861508">
      <w:pPr>
        <w:jc w:val="both"/>
      </w:pPr>
      <w:r w:rsidRPr="00CB2463">
        <w:t xml:space="preserve">Shouhartha Choudhury completed his B.Tech and M.Tech in Bioinformatics from India and now pursuing integrated pre-Ph.D. research program in School of Life Sciences, Department of Biotechnology, Assam University, </w:t>
      </w:r>
      <w:proofErr w:type="gramStart"/>
      <w:r w:rsidRPr="00CB2463">
        <w:t>Silchar</w:t>
      </w:r>
      <w:proofErr w:type="gramEnd"/>
      <w:r w:rsidRPr="00CB2463">
        <w:t xml:space="preserve">, India-788011. He submitted four research report entitled (a) Genome-wide analysis of </w:t>
      </w:r>
      <w:r w:rsidRPr="00CB2463">
        <w:rPr>
          <w:i/>
        </w:rPr>
        <w:t>AP2/ERF family</w:t>
      </w:r>
      <w:r w:rsidRPr="00CB2463">
        <w:t xml:space="preserve"> in plants. (b) Comparative Genomics: Novel </w:t>
      </w:r>
      <w:r w:rsidRPr="00CB2463">
        <w:rPr>
          <w:i/>
        </w:rPr>
        <w:t>BCL-2 family</w:t>
      </w:r>
      <w:r w:rsidRPr="00CB2463">
        <w:t xml:space="preserve"> (c) Genome-wide analysis of </w:t>
      </w:r>
      <w:r w:rsidRPr="00CB2463">
        <w:rPr>
          <w:i/>
        </w:rPr>
        <w:t>NeuroD family</w:t>
      </w:r>
      <w:r w:rsidRPr="00CB2463">
        <w:t xml:space="preserve"> of </w:t>
      </w:r>
      <w:r w:rsidRPr="00CB2463">
        <w:rPr>
          <w:i/>
        </w:rPr>
        <w:t xml:space="preserve">bHLH TF </w:t>
      </w:r>
      <w:r w:rsidRPr="00CB2463">
        <w:t>and,</w:t>
      </w:r>
      <w:r w:rsidRPr="00CB2463">
        <w:rPr>
          <w:i/>
        </w:rPr>
        <w:t xml:space="preserve"> </w:t>
      </w:r>
      <w:r w:rsidRPr="00CB2463">
        <w:t>(d)</w:t>
      </w:r>
      <w:r w:rsidRPr="00CB2463">
        <w:rPr>
          <w:i/>
        </w:rPr>
        <w:t xml:space="preserve"> </w:t>
      </w:r>
      <w:r w:rsidRPr="00CB2463">
        <w:t>Genomics of the</w:t>
      </w:r>
      <w:r w:rsidRPr="00CB2463">
        <w:rPr>
          <w:i/>
        </w:rPr>
        <w:t xml:space="preserve"> OLIG </w:t>
      </w:r>
      <w:r w:rsidRPr="00CB2463">
        <w:t>family of</w:t>
      </w:r>
      <w:r w:rsidRPr="00CB2463">
        <w:rPr>
          <w:i/>
        </w:rPr>
        <w:t xml:space="preserve"> bHLH transcription factor </w:t>
      </w:r>
      <w:r w:rsidRPr="00CB2463">
        <w:t>in Assam University, Silchar for short communication.</w:t>
      </w:r>
      <w:r w:rsidRPr="00CB2463">
        <w:tab/>
      </w:r>
      <w:r w:rsidRPr="00CB2463">
        <w:br/>
      </w: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5F0465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</w:r>
      <w:r w:rsidR="005F0465">
        <w:rPr>
          <w:sz w:val="19"/>
          <w:szCs w:val="19"/>
          <w:lang w:val="en-NZ"/>
        </w:rPr>
        <w:t>Category: (Oral</w:t>
      </w:r>
      <w:r w:rsidR="00F84624">
        <w:rPr>
          <w:sz w:val="19"/>
          <w:szCs w:val="19"/>
          <w:lang w:val="en-NZ"/>
        </w:rPr>
        <w:t xml:space="preserve"> 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5164C"/>
    <w:rsid w:val="000B4641"/>
    <w:rsid w:val="0010711E"/>
    <w:rsid w:val="00127EDD"/>
    <w:rsid w:val="00144D0C"/>
    <w:rsid w:val="002043C0"/>
    <w:rsid w:val="00272C82"/>
    <w:rsid w:val="00276735"/>
    <w:rsid w:val="002864A3"/>
    <w:rsid w:val="002B3B81"/>
    <w:rsid w:val="002F4829"/>
    <w:rsid w:val="00334808"/>
    <w:rsid w:val="0034231E"/>
    <w:rsid w:val="00351E9B"/>
    <w:rsid w:val="003A47B5"/>
    <w:rsid w:val="003A59A6"/>
    <w:rsid w:val="003C0794"/>
    <w:rsid w:val="003F6218"/>
    <w:rsid w:val="004059FE"/>
    <w:rsid w:val="004227FF"/>
    <w:rsid w:val="004445B3"/>
    <w:rsid w:val="00466E41"/>
    <w:rsid w:val="004B1918"/>
    <w:rsid w:val="00526B06"/>
    <w:rsid w:val="005841A1"/>
    <w:rsid w:val="005A3B2A"/>
    <w:rsid w:val="005B520E"/>
    <w:rsid w:val="005B535B"/>
    <w:rsid w:val="005F0465"/>
    <w:rsid w:val="005F3823"/>
    <w:rsid w:val="006108A4"/>
    <w:rsid w:val="006361D1"/>
    <w:rsid w:val="00663E31"/>
    <w:rsid w:val="006C4648"/>
    <w:rsid w:val="006E13E2"/>
    <w:rsid w:val="006F30AC"/>
    <w:rsid w:val="00714FD4"/>
    <w:rsid w:val="0072064C"/>
    <w:rsid w:val="007442B3"/>
    <w:rsid w:val="00753F7B"/>
    <w:rsid w:val="007542DD"/>
    <w:rsid w:val="0078398E"/>
    <w:rsid w:val="00787C5A"/>
    <w:rsid w:val="007919DE"/>
    <w:rsid w:val="00791E91"/>
    <w:rsid w:val="007B532D"/>
    <w:rsid w:val="007C0308"/>
    <w:rsid w:val="008014D2"/>
    <w:rsid w:val="008054BC"/>
    <w:rsid w:val="00812538"/>
    <w:rsid w:val="00841147"/>
    <w:rsid w:val="00842000"/>
    <w:rsid w:val="00861508"/>
    <w:rsid w:val="00883A50"/>
    <w:rsid w:val="008A55B5"/>
    <w:rsid w:val="008A75C8"/>
    <w:rsid w:val="008B62E5"/>
    <w:rsid w:val="008C7699"/>
    <w:rsid w:val="00907876"/>
    <w:rsid w:val="009500F6"/>
    <w:rsid w:val="0097508D"/>
    <w:rsid w:val="00985F3C"/>
    <w:rsid w:val="009B6028"/>
    <w:rsid w:val="009D49B8"/>
    <w:rsid w:val="00A00F74"/>
    <w:rsid w:val="00A510F7"/>
    <w:rsid w:val="00AC6519"/>
    <w:rsid w:val="00C6542B"/>
    <w:rsid w:val="00CB1404"/>
    <w:rsid w:val="00CB2463"/>
    <w:rsid w:val="00CB66E6"/>
    <w:rsid w:val="00D11F7D"/>
    <w:rsid w:val="00D319E1"/>
    <w:rsid w:val="00D9156D"/>
    <w:rsid w:val="00DD634A"/>
    <w:rsid w:val="00E177DC"/>
    <w:rsid w:val="00E75C86"/>
    <w:rsid w:val="00E91219"/>
    <w:rsid w:val="00E918C4"/>
    <w:rsid w:val="00EA506F"/>
    <w:rsid w:val="00ED4A1B"/>
    <w:rsid w:val="00EE4362"/>
    <w:rsid w:val="00EF18D7"/>
    <w:rsid w:val="00EF1E8A"/>
    <w:rsid w:val="00EF3A1A"/>
    <w:rsid w:val="00F84624"/>
    <w:rsid w:val="00F9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  <w:style w:type="character" w:customStyle="1" w:styleId="ilfuvd">
    <w:name w:val="ilfuvd"/>
    <w:basedOn w:val="DefaultParagraphFont"/>
    <w:rsid w:val="00CB24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2922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37</cp:revision>
  <dcterms:created xsi:type="dcterms:W3CDTF">2018-12-14T10:25:00Z</dcterms:created>
  <dcterms:modified xsi:type="dcterms:W3CDTF">2018-12-15T07:33:00Z</dcterms:modified>
</cp:coreProperties>
</file>