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C5FAF" w14:textId="77777777" w:rsidR="008C3ACE" w:rsidRDefault="008C3ACE">
      <w:pPr>
        <w:pStyle w:val="a3"/>
        <w:rPr>
          <w:b/>
          <w:sz w:val="14"/>
        </w:rPr>
      </w:pPr>
    </w:p>
    <w:p w14:paraId="48865420" w14:textId="7C756F82" w:rsidR="00A36D27" w:rsidRDefault="00B5063E" w:rsidP="005E69C2">
      <w:pPr>
        <w:spacing w:before="92"/>
        <w:ind w:left="594" w:right="151"/>
        <w:rPr>
          <w:b/>
          <w:color w:val="585858"/>
        </w:rPr>
      </w:pPr>
      <w:r>
        <w:rPr>
          <w:b/>
          <w:color w:val="585858"/>
        </w:rPr>
        <w:t xml:space="preserve">Title: </w:t>
      </w:r>
      <w:r w:rsidR="00AD5A74" w:rsidRPr="00AD5A74">
        <w:rPr>
          <w:b/>
          <w:color w:val="585858"/>
        </w:rPr>
        <w:t>State of anticoagulant and fibrinolytic systems of blood in patients with hypertension in combination with non-alcoholic fatty liver disease</w:t>
      </w:r>
    </w:p>
    <w:p w14:paraId="059209EA" w14:textId="77777777" w:rsidR="005E69C2" w:rsidRPr="005E69C2" w:rsidRDefault="005E69C2" w:rsidP="005E69C2">
      <w:pPr>
        <w:spacing w:before="92"/>
        <w:ind w:left="594" w:right="151"/>
        <w:rPr>
          <w:b/>
          <w:color w:val="585858"/>
        </w:rPr>
      </w:pPr>
    </w:p>
    <w:p w14:paraId="3CE20AB2" w14:textId="18B3771D" w:rsidR="008C3ACE" w:rsidRDefault="00AD5A74">
      <w:pPr>
        <w:pStyle w:val="3"/>
        <w:spacing w:line="214" w:lineRule="exact"/>
        <w:ind w:left="594" w:firstLine="0"/>
      </w:pPr>
      <w:proofErr w:type="spellStart"/>
      <w:r w:rsidRPr="00AD5A74">
        <w:rPr>
          <w:color w:val="585858"/>
        </w:rPr>
        <w:t>Bazhenova</w:t>
      </w:r>
      <w:proofErr w:type="spellEnd"/>
      <w:r w:rsidRPr="00AD5A74">
        <w:rPr>
          <w:color w:val="585858"/>
        </w:rPr>
        <w:t xml:space="preserve"> N.</w:t>
      </w:r>
    </w:p>
    <w:p w14:paraId="46C125E1" w14:textId="3614402B" w:rsidR="008C3ACE" w:rsidRDefault="00AD5A74">
      <w:pPr>
        <w:pStyle w:val="a3"/>
        <w:spacing w:before="126" w:line="231" w:lineRule="exact"/>
        <w:ind w:left="594"/>
      </w:pPr>
      <w:proofErr w:type="spellStart"/>
      <w:r w:rsidRPr="00AD5A74">
        <w:rPr>
          <w:color w:val="585858"/>
        </w:rPr>
        <w:t>Bogomolets</w:t>
      </w:r>
      <w:proofErr w:type="spellEnd"/>
      <w:r w:rsidRPr="00AD5A74">
        <w:rPr>
          <w:color w:val="585858"/>
        </w:rPr>
        <w:t xml:space="preserve"> National Medical University, Kyiv, Ukraine</w:t>
      </w:r>
    </w:p>
    <w:p w14:paraId="1A7BD72D" w14:textId="77777777"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14:paraId="0F6027D9" w14:textId="124F2791" w:rsidR="008C3ACE" w:rsidRDefault="00B5063E" w:rsidP="005E69C2">
      <w:pPr>
        <w:pStyle w:val="3"/>
        <w:spacing w:before="114"/>
        <w:ind w:left="426" w:right="9" w:firstLine="0"/>
        <w:jc w:val="both"/>
        <w:rPr>
          <w:color w:val="585858"/>
        </w:rPr>
      </w:pPr>
      <w:r>
        <w:rPr>
          <w:color w:val="585858"/>
        </w:rPr>
        <w:lastRenderedPageBreak/>
        <w:t xml:space="preserve">Keywords: </w:t>
      </w:r>
      <w:r w:rsidR="00AD5A74">
        <w:rPr>
          <w:color w:val="585858"/>
        </w:rPr>
        <w:t>H</w:t>
      </w:r>
      <w:r w:rsidR="00AD5A74" w:rsidRPr="00AD5A74">
        <w:rPr>
          <w:color w:val="585858"/>
        </w:rPr>
        <w:t>ypertension, nonalcoholic fatty liver disease, anticoagulant, fibrinolytic activity of blood</w:t>
      </w:r>
    </w:p>
    <w:p w14:paraId="671B3C0D" w14:textId="77777777" w:rsidR="005E69C2" w:rsidRPr="005E69C2" w:rsidRDefault="005E69C2" w:rsidP="005E69C2">
      <w:pPr>
        <w:pStyle w:val="3"/>
        <w:spacing w:before="114"/>
        <w:ind w:left="426" w:right="9" w:firstLine="0"/>
        <w:jc w:val="both"/>
      </w:pPr>
    </w:p>
    <w:p w14:paraId="76E5596A" w14:textId="468BC108" w:rsidR="008C3ACE" w:rsidRDefault="00AD5A74">
      <w:pPr>
        <w:pStyle w:val="a4"/>
        <w:numPr>
          <w:ilvl w:val="0"/>
          <w:numId w:val="1"/>
        </w:numPr>
        <w:tabs>
          <w:tab w:val="left" w:pos="1866"/>
          <w:tab w:val="left" w:pos="1867"/>
        </w:tabs>
        <w:ind w:hanging="446"/>
        <w:jc w:val="left"/>
        <w:rPr>
          <w:b/>
          <w:sz w:val="19"/>
        </w:rPr>
      </w:pPr>
      <w:r>
        <w:rPr>
          <w:b/>
          <w:color w:val="585858"/>
          <w:sz w:val="19"/>
        </w:rPr>
        <w:t xml:space="preserve">Abstract </w:t>
      </w:r>
    </w:p>
    <w:p w14:paraId="57A43071" w14:textId="1172EBA0" w:rsidR="008C3ACE" w:rsidRDefault="00AD5A74">
      <w:pPr>
        <w:pStyle w:val="a3"/>
        <w:spacing w:before="117"/>
        <w:ind w:left="426"/>
        <w:jc w:val="both"/>
      </w:pPr>
      <w:proofErr w:type="gramStart"/>
      <w:r w:rsidRPr="00AD5A74">
        <w:rPr>
          <w:color w:val="585858"/>
        </w:rPr>
        <w:t>Background.</w:t>
      </w:r>
      <w:proofErr w:type="gramEnd"/>
      <w:r w:rsidRPr="00AD5A74">
        <w:rPr>
          <w:color w:val="585858"/>
        </w:rPr>
        <w:t xml:space="preserve"> </w:t>
      </w:r>
      <w:proofErr w:type="gramStart"/>
      <w:r w:rsidRPr="00AD5A74">
        <w:rPr>
          <w:color w:val="585858"/>
        </w:rPr>
        <w:t>To determine the state of the anticoagulant and fibrinolytic activity of blood in patients with hypertension and concomitant non-alcoholic fatty liver disease.</w:t>
      </w:r>
      <w:proofErr w:type="gramEnd"/>
      <w:r w:rsidRPr="00AD5A74">
        <w:rPr>
          <w:color w:val="585858"/>
        </w:rPr>
        <w:t xml:space="preserve"> </w:t>
      </w:r>
      <w:proofErr w:type="gramStart"/>
      <w:r w:rsidRPr="00AD5A74">
        <w:rPr>
          <w:color w:val="585858"/>
        </w:rPr>
        <w:t>Methods.</w:t>
      </w:r>
      <w:proofErr w:type="gramEnd"/>
      <w:r w:rsidRPr="00AD5A74">
        <w:rPr>
          <w:color w:val="585858"/>
        </w:rPr>
        <w:t xml:space="preserve"> 132 patients were examined. 45 patients with hypertension stage II (HT) with concomitant non-alcoholic fatty liver disease (NAFLD), 31 patients with NAFLD without HT, </w:t>
      </w:r>
      <w:proofErr w:type="gramStart"/>
      <w:r w:rsidRPr="00AD5A74">
        <w:rPr>
          <w:color w:val="585858"/>
        </w:rPr>
        <w:t>41</w:t>
      </w:r>
      <w:proofErr w:type="gramEnd"/>
      <w:r w:rsidRPr="00AD5A74">
        <w:rPr>
          <w:color w:val="585858"/>
        </w:rPr>
        <w:t xml:space="preserve"> patients with HT without concomitant NAFLD. </w:t>
      </w:r>
      <w:proofErr w:type="gramStart"/>
      <w:r w:rsidRPr="00AD5A74">
        <w:rPr>
          <w:color w:val="585858"/>
        </w:rPr>
        <w:t>The control group - 15 healthy individuals of comparable age and sex.</w:t>
      </w:r>
      <w:proofErr w:type="gramEnd"/>
      <w:r w:rsidRPr="00AD5A74">
        <w:rPr>
          <w:color w:val="585858"/>
        </w:rPr>
        <w:t xml:space="preserve"> To achieve the aim the study of the anticoagulant and fibrinolytic link was carried out by special laboratory studies. </w:t>
      </w:r>
      <w:proofErr w:type="gramStart"/>
      <w:r w:rsidRPr="00AD5A74">
        <w:rPr>
          <w:color w:val="585858"/>
        </w:rPr>
        <w:t>Results.</w:t>
      </w:r>
      <w:proofErr w:type="gramEnd"/>
      <w:r w:rsidRPr="00AD5A74">
        <w:rPr>
          <w:color w:val="585858"/>
        </w:rPr>
        <w:t xml:space="preserve"> When compared with the control group, the level of </w:t>
      </w:r>
      <w:proofErr w:type="spellStart"/>
      <w:r w:rsidRPr="00AD5A74">
        <w:rPr>
          <w:color w:val="585858"/>
        </w:rPr>
        <w:t>Antithrombin</w:t>
      </w:r>
      <w:proofErr w:type="spellEnd"/>
      <w:r w:rsidRPr="00AD5A74">
        <w:rPr>
          <w:color w:val="585858"/>
        </w:rPr>
        <w:t xml:space="preserve"> III decreases by 16.4% in the HT group (p&lt;0.01) and in the NAFLD group (p&lt;0.01), HT+NAFLD - by 20.3% (p&lt;0.001). The level of Protein C in patients with hypertension decreases by 26% (p&lt;0.001), with NAFLD - by 9.5% (p&lt;0.05), with NAFLD+HT - by 14.1% (p&lt;0.01). Plasminogen decreases in HT - by 15% (p&lt;0.001), NAFLD - by 20.9% (p&lt;0.001), NAFLD+HT - by 16.5% (p&lt;0.001). The duration of Hageman-dependent fibrinolysis is increased in all groups compared to control: in the HT group - by 47% (p&lt;0.001), in the NAFLD group - by 78% (p&lt;0.001), in the NAFLD+HT group - 2.4 times (p&lt;0.001). </w:t>
      </w:r>
      <w:proofErr w:type="gramStart"/>
      <w:r w:rsidRPr="00AD5A74">
        <w:rPr>
          <w:color w:val="585858"/>
        </w:rPr>
        <w:t>Conclusions.</w:t>
      </w:r>
      <w:proofErr w:type="gramEnd"/>
      <w:r w:rsidRPr="00AD5A74">
        <w:rPr>
          <w:color w:val="585858"/>
        </w:rPr>
        <w:t xml:space="preserve"> Suppression of anticoagulant hemostasis is observed in patients with hypertension and with NAFLD. The decrease in the fibrinolytic activity of the blood system is reflected in the extension of the dissolution time of the fibrin clot in the group of patients with hypertension, NAFLD, NAFLD combined with HT. The level of plasminogen decreases to the same extent in patients with hypertension and with the combination of hypertension and NAFLD but isolated NAFLD has a stronger effect on this indicator. NAFLD - is a risk factor for </w:t>
      </w:r>
      <w:proofErr w:type="spellStart"/>
      <w:r w:rsidRPr="00AD5A74">
        <w:rPr>
          <w:color w:val="585858"/>
        </w:rPr>
        <w:t>thrombophilic</w:t>
      </w:r>
      <w:proofErr w:type="spellEnd"/>
      <w:r w:rsidRPr="00AD5A74">
        <w:rPr>
          <w:color w:val="585858"/>
        </w:rPr>
        <w:t xml:space="preserve"> changes in the blood.</w:t>
      </w:r>
    </w:p>
    <w:p w14:paraId="50E33F7C" w14:textId="77777777" w:rsidR="008C3ACE" w:rsidRDefault="008C3ACE">
      <w:pPr>
        <w:pStyle w:val="a3"/>
        <w:spacing w:before="2"/>
      </w:pPr>
    </w:p>
    <w:p w14:paraId="253709E6" w14:textId="14FE592A" w:rsidR="008C3ACE" w:rsidRDefault="00B5063E">
      <w:pPr>
        <w:pStyle w:val="a4"/>
        <w:numPr>
          <w:ilvl w:val="0"/>
          <w:numId w:val="1"/>
        </w:numPr>
        <w:tabs>
          <w:tab w:val="left" w:pos="1758"/>
        </w:tabs>
        <w:spacing w:before="92"/>
        <w:ind w:left="1757"/>
        <w:jc w:val="left"/>
        <w:rPr>
          <w:b/>
          <w:sz w:val="19"/>
        </w:rPr>
      </w:pPr>
      <w:r>
        <w:rPr>
          <w:b/>
          <w:color w:val="585858"/>
          <w:sz w:val="19"/>
        </w:rPr>
        <w:t>Reference:</w:t>
      </w:r>
    </w:p>
    <w:p w14:paraId="7FA6C4D1" w14:textId="0BEC2151" w:rsidR="00AD5A74" w:rsidRPr="00AD5A74" w:rsidRDefault="00AD5A74" w:rsidP="00AD5A74">
      <w:pPr>
        <w:pStyle w:val="a3"/>
        <w:tabs>
          <w:tab w:val="left" w:pos="1037"/>
        </w:tabs>
        <w:ind w:right="696"/>
        <w:rPr>
          <w:color w:val="585858"/>
        </w:rPr>
      </w:pPr>
    </w:p>
    <w:p w14:paraId="3BD97E7C" w14:textId="753A39E0" w:rsidR="00AD5A74" w:rsidRPr="00AD5A74" w:rsidRDefault="00AD5A74" w:rsidP="00AD5A74">
      <w:pPr>
        <w:pStyle w:val="a3"/>
        <w:tabs>
          <w:tab w:val="left" w:pos="1037"/>
        </w:tabs>
        <w:ind w:left="1037" w:right="696" w:hanging="360"/>
        <w:rPr>
          <w:color w:val="585858"/>
        </w:rPr>
      </w:pPr>
      <w:r>
        <w:rPr>
          <w:color w:val="585858"/>
        </w:rPr>
        <w:t>1</w:t>
      </w:r>
      <w:r w:rsidRPr="00AD5A74">
        <w:rPr>
          <w:color w:val="585858"/>
        </w:rPr>
        <w:t xml:space="preserve">. </w:t>
      </w:r>
      <w:proofErr w:type="spellStart"/>
      <w:r w:rsidRPr="00AD5A74">
        <w:rPr>
          <w:color w:val="585858"/>
        </w:rPr>
        <w:t>Gajalakshmi</w:t>
      </w:r>
      <w:proofErr w:type="spellEnd"/>
      <w:r w:rsidRPr="00AD5A74">
        <w:rPr>
          <w:color w:val="585858"/>
        </w:rPr>
        <w:t xml:space="preserve"> V. Body-mass index, blood pressure, and cause-specific mortality in </w:t>
      </w:r>
      <w:proofErr w:type="spellStart"/>
      <w:r w:rsidRPr="00AD5A74">
        <w:rPr>
          <w:color w:val="585858"/>
        </w:rPr>
        <w:t>india</w:t>
      </w:r>
      <w:proofErr w:type="spellEnd"/>
      <w:r w:rsidRPr="00AD5A74">
        <w:rPr>
          <w:color w:val="585858"/>
        </w:rPr>
        <w:t xml:space="preserve">: a prospective cohort study of 500 810 adults / V. </w:t>
      </w:r>
      <w:proofErr w:type="spellStart"/>
      <w:r w:rsidRPr="00AD5A74">
        <w:rPr>
          <w:color w:val="585858"/>
        </w:rPr>
        <w:t>Gajalakshmi</w:t>
      </w:r>
      <w:proofErr w:type="spellEnd"/>
      <w:r w:rsidRPr="00AD5A74">
        <w:rPr>
          <w:color w:val="585858"/>
        </w:rPr>
        <w:t xml:space="preserve">, B. Lacey, V. </w:t>
      </w:r>
      <w:proofErr w:type="spellStart"/>
      <w:proofErr w:type="gramStart"/>
      <w:r w:rsidRPr="00AD5A74">
        <w:rPr>
          <w:color w:val="585858"/>
        </w:rPr>
        <w:t>Kanimozhi</w:t>
      </w:r>
      <w:proofErr w:type="spellEnd"/>
      <w:r w:rsidRPr="00AD5A74">
        <w:rPr>
          <w:color w:val="585858"/>
        </w:rPr>
        <w:t>[</w:t>
      </w:r>
      <w:proofErr w:type="gramEnd"/>
      <w:r w:rsidRPr="00AD5A74">
        <w:rPr>
          <w:color w:val="585858"/>
        </w:rPr>
        <w:t>et al.] // The Lancet Global Health. — 2018. — Vol. 6, No. 7. — P. e787–e794.</w:t>
      </w:r>
    </w:p>
    <w:p w14:paraId="21D63EEE" w14:textId="732E6433" w:rsidR="00AD5A74" w:rsidRPr="00AD5A74" w:rsidRDefault="00AD5A74" w:rsidP="00AD5A74">
      <w:pPr>
        <w:pStyle w:val="a3"/>
        <w:tabs>
          <w:tab w:val="left" w:pos="1037"/>
        </w:tabs>
        <w:ind w:left="1037" w:right="696" w:hanging="360"/>
        <w:rPr>
          <w:color w:val="585858"/>
        </w:rPr>
      </w:pPr>
      <w:r>
        <w:rPr>
          <w:color w:val="585858"/>
        </w:rPr>
        <w:t>2</w:t>
      </w:r>
      <w:r w:rsidRPr="00AD5A74">
        <w:rPr>
          <w:color w:val="585858"/>
        </w:rPr>
        <w:t xml:space="preserve">. </w:t>
      </w:r>
      <w:proofErr w:type="spellStart"/>
      <w:r w:rsidRPr="00AD5A74">
        <w:rPr>
          <w:color w:val="585858"/>
        </w:rPr>
        <w:t>Kopec</w:t>
      </w:r>
      <w:proofErr w:type="spellEnd"/>
      <w:r w:rsidRPr="00AD5A74">
        <w:rPr>
          <w:color w:val="585858"/>
        </w:rPr>
        <w:t xml:space="preserve"> A. K. Role of hemostatic factors in hepatic injury and disease: animal models de-liver. / A. K. </w:t>
      </w:r>
      <w:proofErr w:type="spellStart"/>
      <w:r w:rsidRPr="00AD5A74">
        <w:rPr>
          <w:color w:val="585858"/>
        </w:rPr>
        <w:t>Kopec</w:t>
      </w:r>
      <w:proofErr w:type="spellEnd"/>
      <w:r w:rsidRPr="00AD5A74">
        <w:rPr>
          <w:color w:val="585858"/>
        </w:rPr>
        <w:t xml:space="preserve">, N. Joshi, J. P. </w:t>
      </w:r>
      <w:proofErr w:type="spellStart"/>
      <w:r w:rsidRPr="00AD5A74">
        <w:rPr>
          <w:color w:val="585858"/>
        </w:rPr>
        <w:t>Luyendyk</w:t>
      </w:r>
      <w:proofErr w:type="spellEnd"/>
      <w:r w:rsidRPr="00AD5A74">
        <w:rPr>
          <w:color w:val="585858"/>
        </w:rPr>
        <w:t xml:space="preserve"> // Journal of thrombosis and </w:t>
      </w:r>
      <w:proofErr w:type="spellStart"/>
      <w:r w:rsidRPr="00AD5A74">
        <w:rPr>
          <w:color w:val="585858"/>
        </w:rPr>
        <w:t>haemostasis</w:t>
      </w:r>
      <w:proofErr w:type="spellEnd"/>
      <w:r w:rsidRPr="00AD5A74">
        <w:rPr>
          <w:color w:val="585858"/>
        </w:rPr>
        <w:t xml:space="preserve"> : JTH. — 2016. — </w:t>
      </w:r>
      <w:r w:rsidRPr="00AD5A74">
        <w:rPr>
          <w:color w:val="585858"/>
        </w:rPr>
        <w:lastRenderedPageBreak/>
        <w:t>Vol. 14, No. 7. — P. 1337–49.</w:t>
      </w:r>
    </w:p>
    <w:p w14:paraId="3338E8CF" w14:textId="51B75C4C" w:rsidR="00AD5A74" w:rsidRPr="00AD5A74" w:rsidRDefault="00AD5A74" w:rsidP="00AD5A74">
      <w:pPr>
        <w:pStyle w:val="a3"/>
        <w:tabs>
          <w:tab w:val="left" w:pos="1037"/>
        </w:tabs>
        <w:ind w:left="1037" w:right="696" w:hanging="360"/>
        <w:rPr>
          <w:color w:val="585858"/>
        </w:rPr>
      </w:pPr>
      <w:r>
        <w:rPr>
          <w:color w:val="585858"/>
        </w:rPr>
        <w:t>3.</w:t>
      </w:r>
      <w:r w:rsidRPr="00AD5A74">
        <w:rPr>
          <w:color w:val="585858"/>
        </w:rPr>
        <w:t xml:space="preserve"> Lacey B. Age-specific association between blood pressure and vascular and non-vascular chronic diseases in 0·5 million adults in china: a prospective cohort study / B. Lacey, S. </w:t>
      </w:r>
      <w:proofErr w:type="spellStart"/>
      <w:r w:rsidRPr="00AD5A74">
        <w:rPr>
          <w:color w:val="585858"/>
        </w:rPr>
        <w:t>Lewington</w:t>
      </w:r>
      <w:proofErr w:type="spellEnd"/>
      <w:r w:rsidRPr="00AD5A74">
        <w:rPr>
          <w:color w:val="585858"/>
        </w:rPr>
        <w:t xml:space="preserve">, R. </w:t>
      </w:r>
      <w:proofErr w:type="gramStart"/>
      <w:r w:rsidRPr="00AD5A74">
        <w:rPr>
          <w:color w:val="585858"/>
        </w:rPr>
        <w:t>Clarke[</w:t>
      </w:r>
      <w:proofErr w:type="gramEnd"/>
      <w:r w:rsidRPr="00AD5A74">
        <w:rPr>
          <w:color w:val="585858"/>
        </w:rPr>
        <w:t>et al.] // The Lancet Global Health. — 2018. — Vol. 6, No. 6. — P. e641–e649.</w:t>
      </w:r>
    </w:p>
    <w:p w14:paraId="29481774" w14:textId="37257ABA" w:rsidR="00AD5A74" w:rsidRPr="00AD5A74" w:rsidRDefault="00AD5A74" w:rsidP="00AD5A74">
      <w:pPr>
        <w:pStyle w:val="a3"/>
        <w:tabs>
          <w:tab w:val="left" w:pos="1037"/>
        </w:tabs>
        <w:ind w:left="1037" w:right="696" w:hanging="360"/>
        <w:rPr>
          <w:color w:val="585858"/>
        </w:rPr>
      </w:pPr>
      <w:r>
        <w:rPr>
          <w:color w:val="585858"/>
        </w:rPr>
        <w:t>4</w:t>
      </w:r>
      <w:r w:rsidRPr="00AD5A74">
        <w:rPr>
          <w:color w:val="585858"/>
        </w:rPr>
        <w:t xml:space="preserve">. </w:t>
      </w:r>
      <w:proofErr w:type="spellStart"/>
      <w:r w:rsidRPr="00AD5A74">
        <w:rPr>
          <w:color w:val="585858"/>
        </w:rPr>
        <w:t>Lewington</w:t>
      </w:r>
      <w:proofErr w:type="spellEnd"/>
      <w:r w:rsidRPr="00AD5A74">
        <w:rPr>
          <w:color w:val="585858"/>
        </w:rPr>
        <w:t xml:space="preserve"> S. Age-specific relevance of usual blood pressure to vascular mortality: a meta-analysis of individual data for one million adults in 61 prospective studies. / S. </w:t>
      </w:r>
      <w:proofErr w:type="spellStart"/>
      <w:r w:rsidRPr="00AD5A74">
        <w:rPr>
          <w:color w:val="585858"/>
        </w:rPr>
        <w:t>Lewington</w:t>
      </w:r>
      <w:proofErr w:type="spellEnd"/>
      <w:r w:rsidRPr="00AD5A74">
        <w:rPr>
          <w:color w:val="585858"/>
        </w:rPr>
        <w:t xml:space="preserve">, R. Clarke, N. </w:t>
      </w:r>
      <w:proofErr w:type="spellStart"/>
      <w:proofErr w:type="gramStart"/>
      <w:r w:rsidRPr="00AD5A74">
        <w:rPr>
          <w:color w:val="585858"/>
        </w:rPr>
        <w:t>Qizilbash</w:t>
      </w:r>
      <w:proofErr w:type="spellEnd"/>
      <w:r w:rsidRPr="00AD5A74">
        <w:rPr>
          <w:color w:val="585858"/>
        </w:rPr>
        <w:t>[</w:t>
      </w:r>
      <w:proofErr w:type="gramEnd"/>
      <w:r w:rsidRPr="00AD5A74">
        <w:rPr>
          <w:color w:val="585858"/>
        </w:rPr>
        <w:t>et al.] // Lancet (London, England). — 2002. — Vol. 360, No. 9349. — P. 1903–13.</w:t>
      </w:r>
    </w:p>
    <w:p w14:paraId="3DD2E41B" w14:textId="77777777" w:rsidR="008C3ACE" w:rsidRDefault="008C3ACE">
      <w:pPr>
        <w:pStyle w:val="a3"/>
        <w:spacing w:before="11"/>
        <w:rPr>
          <w:sz w:val="18"/>
        </w:rPr>
      </w:pPr>
    </w:p>
    <w:p w14:paraId="7DFF9F98" w14:textId="77777777" w:rsidR="008C3ACE" w:rsidRDefault="00B5063E">
      <w:pPr>
        <w:pStyle w:val="3"/>
        <w:numPr>
          <w:ilvl w:val="0"/>
          <w:numId w:val="1"/>
        </w:numPr>
        <w:tabs>
          <w:tab w:val="left" w:pos="1758"/>
        </w:tabs>
        <w:ind w:left="1757"/>
        <w:jc w:val="left"/>
      </w:pPr>
      <w:bookmarkStart w:id="0" w:name="_GoBack"/>
      <w:bookmarkEnd w:id="0"/>
      <w:r>
        <w:rPr>
          <w:color w:val="585858"/>
        </w:rPr>
        <w:t>Biography:</w:t>
      </w:r>
    </w:p>
    <w:p w14:paraId="529A93DC" w14:textId="1C791D69" w:rsidR="008C3ACE" w:rsidRDefault="00AD5A74">
      <w:pPr>
        <w:pStyle w:val="a3"/>
        <w:spacing w:before="119"/>
        <w:ind w:left="316" w:right="381"/>
        <w:jc w:val="both"/>
      </w:pPr>
      <w:proofErr w:type="spellStart"/>
      <w:r w:rsidRPr="00AD5A74">
        <w:rPr>
          <w:color w:val="585858"/>
        </w:rPr>
        <w:t>Bazhenova</w:t>
      </w:r>
      <w:proofErr w:type="spellEnd"/>
      <w:r w:rsidRPr="00AD5A74">
        <w:rPr>
          <w:color w:val="585858"/>
        </w:rPr>
        <w:t xml:space="preserve"> N.M. graduated </w:t>
      </w:r>
      <w:proofErr w:type="spellStart"/>
      <w:r w:rsidRPr="00AD5A74">
        <w:rPr>
          <w:color w:val="585858"/>
        </w:rPr>
        <w:t>Bogomolets</w:t>
      </w:r>
      <w:proofErr w:type="spellEnd"/>
      <w:r w:rsidRPr="00AD5A74">
        <w:rPr>
          <w:color w:val="585858"/>
        </w:rPr>
        <w:t xml:space="preserve"> National Medical University in 2006 with honors. She completed the master’s thesis on topic “State of blood coagulation system in patients with hypertensive disease at the background of nonalcoholic fatty liver disease” in 2008. In 2015 she graduated from clinical residency in general practice - family medicine. Since 2015, she studies in the postgraduate school at </w:t>
      </w:r>
      <w:proofErr w:type="spellStart"/>
      <w:r w:rsidRPr="00AD5A74">
        <w:rPr>
          <w:color w:val="585858"/>
        </w:rPr>
        <w:t>Bogomolets</w:t>
      </w:r>
      <w:proofErr w:type="spellEnd"/>
      <w:r w:rsidRPr="00AD5A74">
        <w:rPr>
          <w:color w:val="585858"/>
        </w:rPr>
        <w:t xml:space="preserve"> National Medical University. </w:t>
      </w:r>
      <w:proofErr w:type="gramStart"/>
      <w:r w:rsidRPr="00AD5A74">
        <w:rPr>
          <w:color w:val="585858"/>
        </w:rPr>
        <w:t>She.</w:t>
      </w:r>
      <w:proofErr w:type="gramEnd"/>
      <w:r w:rsidRPr="00AD5A74">
        <w:rPr>
          <w:color w:val="585858"/>
        </w:rPr>
        <w:t xml:space="preserve"> </w:t>
      </w:r>
      <w:proofErr w:type="gramStart"/>
      <w:r w:rsidRPr="00AD5A74">
        <w:rPr>
          <w:color w:val="585858"/>
        </w:rPr>
        <w:t>is</w:t>
      </w:r>
      <w:proofErr w:type="gramEnd"/>
      <w:r w:rsidRPr="00AD5A74">
        <w:rPr>
          <w:color w:val="585858"/>
        </w:rPr>
        <w:t xml:space="preserve"> writing scientific work for the PhD degree on the topic: The state of platelet-plasma hemostasis in patients with essential hypertension combined with obesity and non-alcoholic fatty liver disease. Author of 6 published works</w:t>
      </w:r>
    </w:p>
    <w:p w14:paraId="0F2752B0" w14:textId="77777777" w:rsidR="008C3ACE" w:rsidRDefault="008C3ACE">
      <w:pPr>
        <w:pStyle w:val="a3"/>
        <w:spacing w:before="1"/>
      </w:pPr>
    </w:p>
    <w:p w14:paraId="729BF5C3" w14:textId="77777777"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5446B763" w:rsidR="008C3ACE" w:rsidRDefault="00AD5A74" w:rsidP="005329FC">
      <w:pPr>
        <w:pStyle w:val="a3"/>
        <w:spacing w:before="7"/>
        <w:ind w:left="426"/>
        <w:rPr>
          <w:b/>
          <w:sz w:val="15"/>
        </w:rPr>
      </w:pPr>
      <w:r>
        <w:rPr>
          <w:b/>
          <w:noProof/>
          <w:sz w:val="15"/>
          <w:lang w:val="ru-RU" w:eastAsia="ru-RU"/>
        </w:rPr>
        <w:drawing>
          <wp:inline distT="0" distB="0" distL="0" distR="0" wp14:anchorId="1871E0FD" wp14:editId="28D6D218">
            <wp:extent cx="1209675" cy="13049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9675" cy="1304925"/>
                    </a:xfrm>
                    <a:prstGeom prst="rect">
                      <a:avLst/>
                    </a:prstGeom>
                    <a:noFill/>
                  </pic:spPr>
                </pic:pic>
              </a:graphicData>
            </a:graphic>
          </wp:inline>
        </w:drawing>
      </w:r>
    </w:p>
    <w:p w14:paraId="49270599" w14:textId="77777777" w:rsidR="00AD5A74" w:rsidRDefault="00B5063E" w:rsidP="00AD5A74">
      <w:pPr>
        <w:pStyle w:val="a3"/>
        <w:tabs>
          <w:tab w:val="left" w:pos="3261"/>
          <w:tab w:val="left" w:pos="3402"/>
        </w:tabs>
        <w:ind w:left="318" w:right="2509"/>
        <w:rPr>
          <w:color w:val="585858"/>
        </w:rPr>
      </w:pPr>
      <w:r>
        <w:rPr>
          <w:color w:val="585858"/>
        </w:rPr>
        <w:t xml:space="preserve">Full Name: </w:t>
      </w:r>
      <w:proofErr w:type="spellStart"/>
      <w:r w:rsidR="00AD5A74" w:rsidRPr="00AD5A74">
        <w:rPr>
          <w:color w:val="585858"/>
        </w:rPr>
        <w:t>Bazhenova</w:t>
      </w:r>
      <w:proofErr w:type="spellEnd"/>
      <w:r w:rsidR="00AD5A74" w:rsidRPr="00AD5A74">
        <w:rPr>
          <w:color w:val="585858"/>
        </w:rPr>
        <w:t xml:space="preserve"> </w:t>
      </w:r>
      <w:proofErr w:type="spellStart"/>
      <w:r w:rsidR="00AD5A74" w:rsidRPr="00AD5A74">
        <w:rPr>
          <w:color w:val="585858"/>
        </w:rPr>
        <w:t>Nataliia</w:t>
      </w:r>
      <w:proofErr w:type="spellEnd"/>
      <w:r w:rsidR="00AD5A74" w:rsidRPr="00AD5A74">
        <w:rPr>
          <w:color w:val="585858"/>
        </w:rPr>
        <w:t xml:space="preserve"> </w:t>
      </w:r>
    </w:p>
    <w:p w14:paraId="0408C64E" w14:textId="790E8AC8" w:rsidR="00AD5A74" w:rsidRDefault="00B5063E" w:rsidP="00AD5A74">
      <w:pPr>
        <w:pStyle w:val="a3"/>
        <w:tabs>
          <w:tab w:val="left" w:pos="3261"/>
          <w:tab w:val="left" w:pos="3402"/>
        </w:tabs>
        <w:ind w:left="318" w:right="2509"/>
        <w:rPr>
          <w:color w:val="585858"/>
        </w:rPr>
      </w:pPr>
      <w:r>
        <w:rPr>
          <w:color w:val="585858"/>
        </w:rPr>
        <w:t xml:space="preserve">Contact number: </w:t>
      </w:r>
      <w:r w:rsidR="00AD5A74" w:rsidRPr="00AD5A74">
        <w:rPr>
          <w:color w:val="585858"/>
        </w:rPr>
        <w:t>+380505187027</w:t>
      </w:r>
    </w:p>
    <w:p w14:paraId="6EF11F92" w14:textId="16107B27" w:rsidR="00AD5A74" w:rsidRDefault="00B5063E" w:rsidP="00AD5A74">
      <w:pPr>
        <w:pStyle w:val="a3"/>
        <w:tabs>
          <w:tab w:val="left" w:pos="3402"/>
        </w:tabs>
        <w:ind w:left="318" w:right="3076"/>
        <w:rPr>
          <w:color w:val="585858"/>
        </w:rPr>
      </w:pPr>
      <w:r>
        <w:rPr>
          <w:color w:val="585858"/>
        </w:rPr>
        <w:t xml:space="preserve">Twitter account: </w:t>
      </w:r>
      <w:r w:rsidR="00AD5A74" w:rsidRPr="00AD5A74">
        <w:rPr>
          <w:color w:val="585858"/>
        </w:rPr>
        <w:t>no</w:t>
      </w:r>
    </w:p>
    <w:p w14:paraId="282715A5" w14:textId="09341DBB" w:rsidR="008C3ACE" w:rsidRDefault="00B5063E" w:rsidP="00AD5A74">
      <w:pPr>
        <w:pStyle w:val="a3"/>
        <w:tabs>
          <w:tab w:val="left" w:pos="3402"/>
          <w:tab w:val="left" w:pos="5670"/>
        </w:tabs>
        <w:ind w:left="318" w:right="241"/>
      </w:pPr>
      <w:r>
        <w:rPr>
          <w:color w:val="585858"/>
        </w:rPr>
        <w:t>Linked In account:</w:t>
      </w:r>
      <w:r w:rsidR="00AD5A74">
        <w:rPr>
          <w:color w:val="585858"/>
        </w:rPr>
        <w:t xml:space="preserve"> </w:t>
      </w:r>
      <w:r w:rsidR="00AD5A74" w:rsidRPr="00AD5A74">
        <w:rPr>
          <w:color w:val="585858"/>
        </w:rPr>
        <w:t>https://www.linkedin.com/in/наталия-баженова-425b71112</w:t>
      </w:r>
    </w:p>
    <w:p w14:paraId="7E761070" w14:textId="79FBDA59" w:rsidR="008C3ACE" w:rsidRDefault="00B5063E" w:rsidP="00AD5A74">
      <w:pPr>
        <w:pStyle w:val="a3"/>
        <w:ind w:left="318"/>
      </w:pPr>
      <w:r>
        <w:rPr>
          <w:color w:val="585858"/>
        </w:rPr>
        <w:t>Session name/ number:</w:t>
      </w:r>
      <w:r w:rsidR="00AD5A74">
        <w:rPr>
          <w:color w:val="585858"/>
        </w:rPr>
        <w:t xml:space="preserve"> Hypertension and Cardiac Health Consequences</w:t>
      </w:r>
    </w:p>
    <w:p w14:paraId="1CD9760C" w14:textId="0163B457" w:rsidR="00AD5A74" w:rsidRDefault="00B5063E" w:rsidP="00AD5A74">
      <w:pPr>
        <w:pStyle w:val="a3"/>
        <w:ind w:left="318" w:right="1786"/>
        <w:rPr>
          <w:color w:val="585858"/>
        </w:rPr>
      </w:pPr>
      <w:r>
        <w:rPr>
          <w:color w:val="585858"/>
        </w:rPr>
        <w:t xml:space="preserve">Category: </w:t>
      </w:r>
      <w:r w:rsidR="00AD5A74">
        <w:rPr>
          <w:color w:val="585858"/>
        </w:rPr>
        <w:t>e</w:t>
      </w:r>
      <w:r>
        <w:rPr>
          <w:color w:val="585858"/>
        </w:rPr>
        <w:t xml:space="preserve"> Poster </w:t>
      </w:r>
    </w:p>
    <w:p w14:paraId="436D0902" w14:textId="026F4DA9" w:rsidR="008C3ACE" w:rsidRDefault="00B5063E" w:rsidP="00AD5A74">
      <w:pPr>
        <w:pStyle w:val="a3"/>
        <w:ind w:left="318"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w:t>
      </w:r>
      <w:r w:rsidR="00AD5A74">
        <w:rPr>
          <w:color w:val="585858"/>
        </w:rPr>
        <w:t xml:space="preserve">mber </w:t>
      </w:r>
      <w:r w:rsidR="00FB0CA6">
        <w:rPr>
          <w:color w:val="585858"/>
        </w:rPr>
        <w:t>ME967566</w:t>
      </w:r>
    </w:p>
    <w:p w14:paraId="339FE104" w14:textId="1BCF9D0C" w:rsidR="00D13B33" w:rsidRDefault="00D13B33" w:rsidP="00FB0CA6">
      <w:pPr>
        <w:spacing w:before="49"/>
        <w:ind w:right="1371"/>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1E184A" w14:textId="77777777" w:rsidR="003155C5" w:rsidRDefault="003155C5" w:rsidP="00905843">
      <w:r>
        <w:separator/>
      </w:r>
    </w:p>
  </w:endnote>
  <w:endnote w:type="continuationSeparator" w:id="0">
    <w:p w14:paraId="0D6BEC07" w14:textId="77777777" w:rsidR="003155C5" w:rsidRDefault="003155C5"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52E3990" w:rsidR="00905843" w:rsidRDefault="00BB5692">
    <w:pPr>
      <w:pStyle w:val="ab"/>
    </w:pPr>
    <w:r>
      <w:rPr>
        <w:noProof/>
        <w:lang w:val="ru-RU" w:eastAsia="ru-RU"/>
      </w:rPr>
      <w:drawing>
        <wp:inline distT="0" distB="0" distL="0" distR="0" wp14:anchorId="7859DD44" wp14:editId="55C56DEC">
          <wp:extent cx="7359650" cy="955754"/>
          <wp:effectExtent l="0" t="0" r="0" b="0"/>
          <wp:docPr id="2" name="Picture 2" descr="\\omicswb-0252\Pallab Team\Bibh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icswb-0252\Pallab Team\Bibhu\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A5E7A5" w14:textId="77777777" w:rsidR="003155C5" w:rsidRDefault="003155C5" w:rsidP="00905843">
      <w:r>
        <w:separator/>
      </w:r>
    </w:p>
  </w:footnote>
  <w:footnote w:type="continuationSeparator" w:id="0">
    <w:p w14:paraId="6DEF8D2A" w14:textId="77777777" w:rsidR="003155C5" w:rsidRDefault="003155C5"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31D495F4" w:rsidR="00905843" w:rsidRDefault="00C00F71">
    <w:pPr>
      <w:pStyle w:val="a9"/>
    </w:pPr>
    <w:r>
      <w:rPr>
        <w:noProof/>
        <w:lang w:val="ru-RU" w:eastAsia="ru-RU"/>
      </w:rPr>
      <w:drawing>
        <wp:inline distT="0" distB="0" distL="0" distR="0" wp14:anchorId="4DE9C6BD" wp14:editId="1A52A8B0">
          <wp:extent cx="7419975" cy="990268"/>
          <wp:effectExtent l="0" t="0" r="0" b="635"/>
          <wp:docPr id="4" name="Picture 4" descr="C:\Users\diabetelogists\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betelogists\Deskto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6015" cy="99240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B53E4"/>
    <w:rsid w:val="0010577A"/>
    <w:rsid w:val="002468CB"/>
    <w:rsid w:val="002B0B98"/>
    <w:rsid w:val="003155C5"/>
    <w:rsid w:val="00447E46"/>
    <w:rsid w:val="0046388E"/>
    <w:rsid w:val="005329FC"/>
    <w:rsid w:val="005640BF"/>
    <w:rsid w:val="00571F75"/>
    <w:rsid w:val="0058095B"/>
    <w:rsid w:val="005D5585"/>
    <w:rsid w:val="005E69C2"/>
    <w:rsid w:val="006433E1"/>
    <w:rsid w:val="00677986"/>
    <w:rsid w:val="0087363E"/>
    <w:rsid w:val="008B1C3B"/>
    <w:rsid w:val="008C3ACE"/>
    <w:rsid w:val="00905843"/>
    <w:rsid w:val="00935715"/>
    <w:rsid w:val="009D11A9"/>
    <w:rsid w:val="009F3FAE"/>
    <w:rsid w:val="00A11783"/>
    <w:rsid w:val="00A36D27"/>
    <w:rsid w:val="00AD5A74"/>
    <w:rsid w:val="00AD71F0"/>
    <w:rsid w:val="00B5063E"/>
    <w:rsid w:val="00B508F1"/>
    <w:rsid w:val="00BB5692"/>
    <w:rsid w:val="00BF55A2"/>
    <w:rsid w:val="00C00F71"/>
    <w:rsid w:val="00C164E0"/>
    <w:rsid w:val="00C201FE"/>
    <w:rsid w:val="00CB5B6B"/>
    <w:rsid w:val="00D13B33"/>
    <w:rsid w:val="00D45022"/>
    <w:rsid w:val="00E92D8A"/>
    <w:rsid w:val="00EC4830"/>
    <w:rsid w:val="00F8450C"/>
    <w:rsid w:val="00FB0CA6"/>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Текст выноски Знак"/>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 w:type="character" w:styleId="a8">
    <w:name w:val="FollowedHyperlink"/>
    <w:basedOn w:val="a0"/>
    <w:uiPriority w:val="99"/>
    <w:semiHidden/>
    <w:unhideWhenUsed/>
    <w:rsid w:val="00BF55A2"/>
    <w:rPr>
      <w:color w:val="800080" w:themeColor="followedHyperlink"/>
      <w:u w:val="single"/>
    </w:rPr>
  </w:style>
  <w:style w:type="character" w:customStyle="1" w:styleId="UnresolvedMention">
    <w:name w:val="Unresolved Mention"/>
    <w:basedOn w:val="a0"/>
    <w:uiPriority w:val="99"/>
    <w:semiHidden/>
    <w:unhideWhenUsed/>
    <w:rsid w:val="00C164E0"/>
    <w:rPr>
      <w:color w:val="605E5C"/>
      <w:shd w:val="clear" w:color="auto" w:fill="E1DFDD"/>
    </w:rPr>
  </w:style>
  <w:style w:type="paragraph" w:styleId="a9">
    <w:name w:val="header"/>
    <w:basedOn w:val="a"/>
    <w:link w:val="aa"/>
    <w:uiPriority w:val="99"/>
    <w:unhideWhenUsed/>
    <w:rsid w:val="00905843"/>
    <w:pPr>
      <w:tabs>
        <w:tab w:val="center" w:pos="4513"/>
        <w:tab w:val="right" w:pos="9026"/>
      </w:tabs>
    </w:pPr>
  </w:style>
  <w:style w:type="character" w:customStyle="1" w:styleId="aa">
    <w:name w:val="Верхний колонтитул Знак"/>
    <w:basedOn w:val="a0"/>
    <w:link w:val="a9"/>
    <w:uiPriority w:val="99"/>
    <w:rsid w:val="00905843"/>
    <w:rPr>
      <w:rFonts w:ascii="Times New Roman" w:eastAsia="Times New Roman" w:hAnsi="Times New Roman" w:cs="Times New Roman"/>
    </w:rPr>
  </w:style>
  <w:style w:type="paragraph" w:styleId="ab">
    <w:name w:val="footer"/>
    <w:basedOn w:val="a"/>
    <w:link w:val="ac"/>
    <w:uiPriority w:val="99"/>
    <w:unhideWhenUsed/>
    <w:rsid w:val="00905843"/>
    <w:pPr>
      <w:tabs>
        <w:tab w:val="center" w:pos="4513"/>
        <w:tab w:val="right" w:pos="9026"/>
      </w:tabs>
    </w:pPr>
  </w:style>
  <w:style w:type="character" w:customStyle="1" w:styleId="ac">
    <w:name w:val="Нижний колонтитул Знак"/>
    <w:basedOn w:val="a0"/>
    <w:link w:val="ab"/>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Текст выноски Знак"/>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 w:type="character" w:styleId="a8">
    <w:name w:val="FollowedHyperlink"/>
    <w:basedOn w:val="a0"/>
    <w:uiPriority w:val="99"/>
    <w:semiHidden/>
    <w:unhideWhenUsed/>
    <w:rsid w:val="00BF55A2"/>
    <w:rPr>
      <w:color w:val="800080" w:themeColor="followedHyperlink"/>
      <w:u w:val="single"/>
    </w:rPr>
  </w:style>
  <w:style w:type="character" w:customStyle="1" w:styleId="UnresolvedMention">
    <w:name w:val="Unresolved Mention"/>
    <w:basedOn w:val="a0"/>
    <w:uiPriority w:val="99"/>
    <w:semiHidden/>
    <w:unhideWhenUsed/>
    <w:rsid w:val="00C164E0"/>
    <w:rPr>
      <w:color w:val="605E5C"/>
      <w:shd w:val="clear" w:color="auto" w:fill="E1DFDD"/>
    </w:rPr>
  </w:style>
  <w:style w:type="paragraph" w:styleId="a9">
    <w:name w:val="header"/>
    <w:basedOn w:val="a"/>
    <w:link w:val="aa"/>
    <w:uiPriority w:val="99"/>
    <w:unhideWhenUsed/>
    <w:rsid w:val="00905843"/>
    <w:pPr>
      <w:tabs>
        <w:tab w:val="center" w:pos="4513"/>
        <w:tab w:val="right" w:pos="9026"/>
      </w:tabs>
    </w:pPr>
  </w:style>
  <w:style w:type="character" w:customStyle="1" w:styleId="aa">
    <w:name w:val="Верхний колонтитул Знак"/>
    <w:basedOn w:val="a0"/>
    <w:link w:val="a9"/>
    <w:uiPriority w:val="99"/>
    <w:rsid w:val="00905843"/>
    <w:rPr>
      <w:rFonts w:ascii="Times New Roman" w:eastAsia="Times New Roman" w:hAnsi="Times New Roman" w:cs="Times New Roman"/>
    </w:rPr>
  </w:style>
  <w:style w:type="paragraph" w:styleId="ab">
    <w:name w:val="footer"/>
    <w:basedOn w:val="a"/>
    <w:link w:val="ac"/>
    <w:uiPriority w:val="99"/>
    <w:unhideWhenUsed/>
    <w:rsid w:val="00905843"/>
    <w:pPr>
      <w:tabs>
        <w:tab w:val="center" w:pos="4513"/>
        <w:tab w:val="right" w:pos="9026"/>
      </w:tabs>
    </w:pPr>
  </w:style>
  <w:style w:type="character" w:customStyle="1" w:styleId="ac">
    <w:name w:val="Нижний колонтитул Знак"/>
    <w:basedOn w:val="a0"/>
    <w:link w:val="ab"/>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3576</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SEAT</cp:lastModifiedBy>
  <cp:revision>4</cp:revision>
  <dcterms:created xsi:type="dcterms:W3CDTF">2018-10-21T14:15:00Z</dcterms:created>
  <dcterms:modified xsi:type="dcterms:W3CDTF">2018-10-21T14:17:00Z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