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D72" w:rsidRPr="00C80CBF" w:rsidRDefault="00061D72" w:rsidP="00061D72">
      <w:pPr>
        <w:rPr>
          <w:rFonts w:ascii="Times New Roman" w:hAnsi="Times New Roman" w:cs="Times New Roman"/>
          <w:b/>
          <w:sz w:val="28"/>
          <w:szCs w:val="28"/>
        </w:rPr>
      </w:pPr>
      <w:r w:rsidRPr="00C80CBF">
        <w:rPr>
          <w:rFonts w:ascii="Times New Roman" w:hAnsi="Times New Roman" w:cs="Times New Roman"/>
          <w:b/>
          <w:sz w:val="28"/>
          <w:szCs w:val="28"/>
        </w:rPr>
        <w:t xml:space="preserve">Aggressive Neo-Intimal Hyperplasia is associated with Increased TNF-α   </w:t>
      </w:r>
    </w:p>
    <w:p w:rsidR="001F52F4" w:rsidRDefault="00061D72" w:rsidP="00061D72">
      <w:pPr>
        <w:rPr>
          <w:rFonts w:ascii="Times New Roman" w:hAnsi="Times New Roman" w:cs="Times New Roman"/>
          <w:b/>
          <w:sz w:val="28"/>
          <w:szCs w:val="28"/>
        </w:rPr>
      </w:pPr>
      <w:r w:rsidRPr="00C80CBF">
        <w:rPr>
          <w:rFonts w:ascii="Times New Roman" w:hAnsi="Times New Roman" w:cs="Times New Roman"/>
          <w:b/>
          <w:sz w:val="28"/>
          <w:szCs w:val="28"/>
        </w:rPr>
        <w:t xml:space="preserve">          mRNA Expression in a Pig Animal Coronary Grafting Model</w:t>
      </w:r>
    </w:p>
    <w:p w:rsidR="00061D72" w:rsidRDefault="001F52F4" w:rsidP="00061D72">
      <w:pPr>
        <w:rPr>
          <w:rFonts w:ascii="Times New Roman" w:hAnsi="Times New Roman" w:cs="Times New Roman"/>
          <w:b/>
          <w:bCs/>
          <w:i/>
          <w:iCs/>
          <w:sz w:val="24"/>
          <w:szCs w:val="24"/>
        </w:rPr>
      </w:pPr>
      <w:r w:rsidRPr="00D35BAD">
        <w:rPr>
          <w:rFonts w:ascii="Times New Roman" w:hAnsi="Times New Roman" w:cs="Times New Roman"/>
          <w:b/>
          <w:bCs/>
          <w:i/>
          <w:iCs/>
          <w:sz w:val="24"/>
          <w:szCs w:val="24"/>
        </w:rPr>
        <w:t>A hypothesized proposed study in</w:t>
      </w:r>
      <w:r w:rsidRPr="00D35BAD">
        <w:rPr>
          <w:rFonts w:ascii="Times New Roman" w:hAnsi="Times New Roman" w:cs="Times New Roman"/>
          <w:b/>
          <w:bCs/>
          <w:i/>
          <w:iCs/>
          <w:sz w:val="28"/>
          <w:szCs w:val="28"/>
        </w:rPr>
        <w:t xml:space="preserve"> </w:t>
      </w:r>
      <w:r w:rsidRPr="00D35BAD">
        <w:rPr>
          <w:rFonts w:ascii="Times New Roman" w:hAnsi="Times New Roman" w:cs="Times New Roman"/>
          <w:b/>
          <w:bCs/>
          <w:i/>
          <w:iCs/>
          <w:sz w:val="24"/>
          <w:szCs w:val="24"/>
        </w:rPr>
        <w:t>Seton Hall University-</w:t>
      </w:r>
      <w:r w:rsidR="00EC7F18" w:rsidRPr="00D35BAD">
        <w:rPr>
          <w:rFonts w:ascii="Times New Roman" w:hAnsi="Times New Roman" w:cs="Times New Roman"/>
          <w:b/>
          <w:bCs/>
          <w:i/>
          <w:iCs/>
          <w:sz w:val="24"/>
          <w:szCs w:val="24"/>
        </w:rPr>
        <w:t xml:space="preserve"> </w:t>
      </w:r>
      <w:r w:rsidRPr="00D35BAD">
        <w:rPr>
          <w:rFonts w:ascii="Times New Roman" w:hAnsi="Times New Roman" w:cs="Times New Roman"/>
          <w:b/>
          <w:bCs/>
          <w:i/>
          <w:iCs/>
          <w:sz w:val="24"/>
          <w:szCs w:val="24"/>
        </w:rPr>
        <w:t>School of Health and Medical sciences and the department of biology at Seton Hall University</w:t>
      </w:r>
      <w:r w:rsidR="00C80CBF" w:rsidRPr="00D35BAD">
        <w:rPr>
          <w:rFonts w:ascii="Times New Roman" w:hAnsi="Times New Roman" w:cs="Times New Roman"/>
          <w:b/>
          <w:bCs/>
          <w:i/>
          <w:iCs/>
          <w:sz w:val="24"/>
          <w:szCs w:val="24"/>
        </w:rPr>
        <w:t>/ College of Arts and Science</w:t>
      </w:r>
      <w:r w:rsidRPr="00D35BAD">
        <w:rPr>
          <w:rFonts w:ascii="Times New Roman" w:hAnsi="Times New Roman" w:cs="Times New Roman"/>
          <w:b/>
          <w:bCs/>
          <w:i/>
          <w:iCs/>
          <w:sz w:val="24"/>
          <w:szCs w:val="24"/>
        </w:rPr>
        <w:t>- South Orange, NJ-USA</w:t>
      </w:r>
    </w:p>
    <w:p w:rsidR="00D35BAD" w:rsidRPr="00D35BAD" w:rsidRDefault="00D35BAD" w:rsidP="00061D72">
      <w:pPr>
        <w:rPr>
          <w:rFonts w:ascii="Times New Roman" w:hAnsi="Times New Roman" w:cs="Times New Roman"/>
          <w:b/>
          <w:bCs/>
          <w:i/>
          <w:iCs/>
          <w:sz w:val="28"/>
          <w:szCs w:val="28"/>
        </w:rPr>
      </w:pPr>
    </w:p>
    <w:p w:rsidR="00653397" w:rsidRPr="00D35BAD" w:rsidRDefault="00061D72" w:rsidP="00653397">
      <w:pPr>
        <w:rPr>
          <w:rFonts w:ascii="Times New Roman" w:hAnsi="Times New Roman" w:cs="Times New Roman"/>
          <w:b/>
          <w:i/>
          <w:iCs/>
          <w:sz w:val="24"/>
          <w:szCs w:val="24"/>
        </w:rPr>
      </w:pPr>
      <w:r w:rsidRPr="00D35BAD">
        <w:rPr>
          <w:rFonts w:ascii="Times New Roman" w:hAnsi="Times New Roman" w:cs="Times New Roman"/>
          <w:b/>
          <w:i/>
          <w:iCs/>
          <w:sz w:val="24"/>
          <w:szCs w:val="24"/>
        </w:rPr>
        <w:t>Dr. M</w:t>
      </w:r>
      <w:r w:rsidR="00FF2387" w:rsidRPr="00D35BAD">
        <w:rPr>
          <w:rFonts w:ascii="Times New Roman" w:hAnsi="Times New Roman" w:cs="Times New Roman"/>
          <w:b/>
          <w:i/>
          <w:iCs/>
          <w:sz w:val="24"/>
          <w:szCs w:val="24"/>
        </w:rPr>
        <w:t>utaz Fakhry Al-khateeb MD, FIBMS</w:t>
      </w:r>
      <w:r w:rsidRPr="00D35BAD">
        <w:rPr>
          <w:rFonts w:ascii="Times New Roman" w:hAnsi="Times New Roman" w:cs="Times New Roman"/>
          <w:b/>
          <w:i/>
          <w:iCs/>
          <w:sz w:val="24"/>
          <w:szCs w:val="24"/>
        </w:rPr>
        <w:t>, MS, FCRC</w:t>
      </w:r>
      <w:r w:rsidR="00E24029" w:rsidRPr="00D35BAD">
        <w:rPr>
          <w:rFonts w:ascii="Times New Roman" w:hAnsi="Times New Roman" w:cs="Times New Roman"/>
          <w:b/>
          <w:i/>
          <w:iCs/>
          <w:sz w:val="24"/>
          <w:szCs w:val="24"/>
        </w:rPr>
        <w:t xml:space="preserve">, </w:t>
      </w:r>
      <w:r w:rsidR="00FF2387" w:rsidRPr="00D35BAD">
        <w:rPr>
          <w:rFonts w:ascii="Times New Roman" w:hAnsi="Times New Roman" w:cs="Times New Roman"/>
          <w:b/>
          <w:i/>
          <w:iCs/>
          <w:sz w:val="24"/>
          <w:szCs w:val="24"/>
        </w:rPr>
        <w:t>FACS</w:t>
      </w:r>
      <w:r w:rsidR="00D35BAD" w:rsidRPr="00D35BAD">
        <w:rPr>
          <w:rFonts w:ascii="Times New Roman" w:hAnsi="Times New Roman" w:cs="Times New Roman"/>
          <w:b/>
          <w:i/>
          <w:iCs/>
          <w:sz w:val="24"/>
          <w:szCs w:val="24"/>
        </w:rPr>
        <w:t>, FISS</w:t>
      </w:r>
    </w:p>
    <w:p w:rsidR="00653397" w:rsidRDefault="00653397" w:rsidP="00D35BAD">
      <w:pPr>
        <w:rPr>
          <w:rFonts w:ascii="Times New Roman" w:hAnsi="Times New Roman" w:cs="Times New Roman"/>
          <w:b/>
          <w:i/>
          <w:iCs/>
          <w:sz w:val="24"/>
          <w:szCs w:val="24"/>
        </w:rPr>
      </w:pPr>
      <w:r w:rsidRPr="00D35BAD">
        <w:rPr>
          <w:rFonts w:ascii="Times New Roman" w:hAnsi="Times New Roman" w:cs="Times New Roman"/>
          <w:b/>
          <w:i/>
          <w:iCs/>
          <w:sz w:val="24"/>
          <w:szCs w:val="24"/>
        </w:rPr>
        <w:t>Senior Consultant Cardiothoracic and Vascular Surgeon</w:t>
      </w:r>
    </w:p>
    <w:p w:rsidR="003A1B81" w:rsidRDefault="00472A02" w:rsidP="003A1B81">
      <w:pPr>
        <w:rPr>
          <w:rFonts w:ascii="Times New Roman" w:hAnsi="Times New Roman" w:cs="Times New Roman"/>
          <w:b/>
          <w:i/>
          <w:iCs/>
          <w:sz w:val="24"/>
          <w:szCs w:val="24"/>
        </w:rPr>
      </w:pPr>
      <w:r>
        <w:rPr>
          <w:rFonts w:ascii="Times New Roman" w:hAnsi="Times New Roman" w:cs="Times New Roman"/>
          <w:b/>
          <w:i/>
          <w:iCs/>
          <w:sz w:val="24"/>
          <w:szCs w:val="24"/>
        </w:rPr>
        <w:t>Professor in Cardiothoracic and Vascular surgery</w:t>
      </w:r>
    </w:p>
    <w:p w:rsidR="003A1B81" w:rsidRDefault="003A1B81" w:rsidP="003A1B81">
      <w:pPr>
        <w:rPr>
          <w:rFonts w:ascii="Times New Roman" w:hAnsi="Times New Roman" w:cs="Times New Roman"/>
          <w:b/>
          <w:bCs/>
          <w:i/>
          <w:iCs/>
          <w:sz w:val="24"/>
          <w:szCs w:val="24"/>
        </w:rPr>
      </w:pPr>
      <w:r w:rsidRPr="003A1B81">
        <w:rPr>
          <w:rFonts w:ascii="Times New Roman" w:hAnsi="Times New Roman" w:cs="Times New Roman"/>
          <w:b/>
          <w:bCs/>
          <w:i/>
          <w:iCs/>
          <w:sz w:val="24"/>
          <w:szCs w:val="24"/>
        </w:rPr>
        <w:t xml:space="preserve"> </w:t>
      </w:r>
      <w:r w:rsidRPr="00D35BAD">
        <w:rPr>
          <w:rFonts w:ascii="Times New Roman" w:hAnsi="Times New Roman" w:cs="Times New Roman"/>
          <w:b/>
          <w:bCs/>
          <w:i/>
          <w:iCs/>
          <w:sz w:val="24"/>
          <w:szCs w:val="24"/>
        </w:rPr>
        <w:t>Seton Hall University</w:t>
      </w:r>
      <w:r>
        <w:rPr>
          <w:rFonts w:ascii="Times New Roman" w:hAnsi="Times New Roman" w:cs="Times New Roman"/>
          <w:b/>
          <w:bCs/>
          <w:i/>
          <w:iCs/>
          <w:sz w:val="24"/>
          <w:szCs w:val="24"/>
        </w:rPr>
        <w:t>/</w:t>
      </w:r>
      <w:r w:rsidRPr="00D35BAD">
        <w:rPr>
          <w:rFonts w:ascii="Times New Roman" w:hAnsi="Times New Roman" w:cs="Times New Roman"/>
          <w:b/>
          <w:bCs/>
          <w:i/>
          <w:iCs/>
          <w:sz w:val="24"/>
          <w:szCs w:val="24"/>
        </w:rPr>
        <w:t xml:space="preserve"> College of Arts and Science- South Orange, NJ-USA</w:t>
      </w:r>
    </w:p>
    <w:p w:rsidR="003A1B81" w:rsidRDefault="003A1B81" w:rsidP="003A1B81">
      <w:pPr>
        <w:rPr>
          <w:rFonts w:ascii="Times New Roman" w:hAnsi="Times New Roman" w:cs="Times New Roman"/>
          <w:b/>
          <w:bCs/>
          <w:i/>
          <w:iCs/>
          <w:sz w:val="24"/>
          <w:szCs w:val="24"/>
        </w:rPr>
      </w:pPr>
      <w:r>
        <w:rPr>
          <w:rFonts w:ascii="Times New Roman" w:hAnsi="Times New Roman" w:cs="Times New Roman"/>
          <w:b/>
          <w:bCs/>
          <w:i/>
          <w:iCs/>
          <w:sz w:val="24"/>
          <w:szCs w:val="24"/>
        </w:rPr>
        <w:t xml:space="preserve">Albert Einstein College of medicine, NY-USA </w:t>
      </w:r>
    </w:p>
    <w:p w:rsidR="003A1B81" w:rsidRDefault="003A1B81" w:rsidP="003A1B81">
      <w:pPr>
        <w:rPr>
          <w:rFonts w:ascii="Times New Roman" w:hAnsi="Times New Roman" w:cs="Times New Roman"/>
          <w:b/>
          <w:bCs/>
          <w:i/>
          <w:iCs/>
          <w:sz w:val="24"/>
          <w:szCs w:val="24"/>
        </w:rPr>
      </w:pPr>
      <w:r>
        <w:rPr>
          <w:rFonts w:ascii="Times New Roman" w:hAnsi="Times New Roman" w:cs="Times New Roman"/>
          <w:b/>
          <w:bCs/>
          <w:i/>
          <w:iCs/>
          <w:sz w:val="24"/>
          <w:szCs w:val="24"/>
        </w:rPr>
        <w:t>Al-Qassimi Hospital</w:t>
      </w:r>
      <w:r w:rsidR="00607450">
        <w:rPr>
          <w:rFonts w:ascii="Times New Roman" w:hAnsi="Times New Roman" w:cs="Times New Roman"/>
          <w:b/>
          <w:bCs/>
          <w:i/>
          <w:iCs/>
          <w:sz w:val="24"/>
          <w:szCs w:val="24"/>
        </w:rPr>
        <w:t>, Ministry of Health</w:t>
      </w:r>
      <w:r>
        <w:rPr>
          <w:rFonts w:ascii="Times New Roman" w:hAnsi="Times New Roman" w:cs="Times New Roman"/>
          <w:b/>
          <w:bCs/>
          <w:i/>
          <w:iCs/>
          <w:sz w:val="24"/>
          <w:szCs w:val="24"/>
        </w:rPr>
        <w:t xml:space="preserve"> / UAE</w:t>
      </w:r>
    </w:p>
    <w:p w:rsidR="00472A02" w:rsidRDefault="00472A02" w:rsidP="00D35BAD">
      <w:pPr>
        <w:rPr>
          <w:rFonts w:ascii="Times New Roman" w:hAnsi="Times New Roman" w:cs="Times New Roman"/>
          <w:b/>
          <w:i/>
          <w:iCs/>
          <w:sz w:val="24"/>
          <w:szCs w:val="24"/>
        </w:rPr>
      </w:pPr>
    </w:p>
    <w:p w:rsidR="00061D72" w:rsidRDefault="00061D72" w:rsidP="00061D72">
      <w:pPr>
        <w:spacing w:line="360" w:lineRule="auto"/>
        <w:jc w:val="both"/>
        <w:rPr>
          <w:rFonts w:ascii="Times New Roman" w:hAnsi="Times New Roman" w:cs="Times New Roman"/>
          <w:sz w:val="24"/>
          <w:szCs w:val="24"/>
        </w:rPr>
      </w:pPr>
      <w:r>
        <w:rPr>
          <w:b/>
          <w:sz w:val="28"/>
          <w:szCs w:val="28"/>
        </w:rPr>
        <w:t>Abstract:</w:t>
      </w:r>
    </w:p>
    <w:p w:rsidR="00061D72" w:rsidRDefault="00061D72" w:rsidP="00620AAD">
      <w:pPr>
        <w:spacing w:line="360" w:lineRule="auto"/>
        <w:jc w:val="both"/>
        <w:rPr>
          <w:rFonts w:ascii="Times New Roman" w:hAnsi="Times New Roman" w:cs="Times New Roman"/>
          <w:sz w:val="24"/>
          <w:szCs w:val="24"/>
        </w:rPr>
      </w:pPr>
      <w:r>
        <w:rPr>
          <w:rFonts w:ascii="Times New Roman" w:hAnsi="Times New Roman" w:cs="Times New Roman"/>
          <w:sz w:val="24"/>
          <w:szCs w:val="24"/>
        </w:rPr>
        <w:t>Atherosclerosis is a chronic vascular and inflammatory disease condition that results in thickening and hardening of the affected blood vessels. Different risk factors contribute to the cause of atherosclerotic cardiovascular disease and increasing evidence implicates the immune system.</w:t>
      </w:r>
    </w:p>
    <w:p w:rsidR="00061D72" w:rsidRDefault="00061D72" w:rsidP="00620AA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Clinically, the patient could be asymptomatic depending on the stage of the atherosclerotic process and the duration of the diseased condition; on the other hand the patient may show severe symptoms as in acute coronary syndrome, and treatment could be conservative or interventional as in balloon and stenting angioplasty or surgery as in coronary bypass grafting. </w:t>
      </w:r>
    </w:p>
    <w:p w:rsidR="00061D72" w:rsidRPr="00C774AA" w:rsidRDefault="00061D72" w:rsidP="00620AAD">
      <w:pPr>
        <w:spacing w:line="360" w:lineRule="auto"/>
        <w:jc w:val="both"/>
        <w:rPr>
          <w:rFonts w:ascii="Times New Roman" w:hAnsi="Times New Roman" w:cs="Times New Roman"/>
          <w:sz w:val="24"/>
          <w:szCs w:val="24"/>
        </w:rPr>
      </w:pPr>
      <w:r w:rsidRPr="00C774AA">
        <w:rPr>
          <w:rFonts w:ascii="Times New Roman" w:hAnsi="Times New Roman" w:cs="Times New Roman"/>
          <w:sz w:val="24"/>
          <w:szCs w:val="24"/>
        </w:rPr>
        <w:t>Intimal hyperplasia (thickening of the intimal vascular layer) will support the foundation of the atherosclerotic process and later on the progression of the formation of atheromatous plaque, and starts as early as  few hours following  coronary bypass surgery, and progress within the first one month post- operatively. In this study, we hypothesized that TNF-α mRNA expression levels were directly dependent on the severity of atherosclerosis to test our hypothesis</w:t>
      </w:r>
      <w:r>
        <w:rPr>
          <w:rFonts w:ascii="Times New Roman" w:hAnsi="Times New Roman" w:cs="Times New Roman"/>
          <w:sz w:val="24"/>
          <w:szCs w:val="24"/>
        </w:rPr>
        <w:t xml:space="preserve">. </w:t>
      </w:r>
      <w:r w:rsidRPr="00C774AA">
        <w:rPr>
          <w:rFonts w:ascii="Times New Roman" w:hAnsi="Times New Roman" w:cs="Times New Roman"/>
          <w:sz w:val="24"/>
          <w:szCs w:val="24"/>
        </w:rPr>
        <w:t xml:space="preserve">Seven, 4 months </w:t>
      </w:r>
      <w:r w:rsidRPr="00C774AA">
        <w:rPr>
          <w:rFonts w:ascii="Times New Roman" w:hAnsi="Times New Roman" w:cs="Times New Roman"/>
          <w:sz w:val="24"/>
          <w:szCs w:val="24"/>
        </w:rPr>
        <w:lastRenderedPageBreak/>
        <w:t>old, 35 kilogram, Yorkshire Gross domestic swine supplied from Yeazel and Co. ( Wolverton,OH,USA) were proposed to be used  in this study.</w:t>
      </w:r>
    </w:p>
    <w:p w:rsidR="00061D72" w:rsidRDefault="00061D72" w:rsidP="00620AAD">
      <w:pPr>
        <w:spacing w:line="360" w:lineRule="auto"/>
        <w:jc w:val="both"/>
        <w:rPr>
          <w:rFonts w:ascii="Times New Roman" w:hAnsi="Times New Roman" w:cs="Times New Roman"/>
          <w:sz w:val="24"/>
          <w:szCs w:val="24"/>
        </w:rPr>
      </w:pPr>
      <w:r w:rsidRPr="00C774AA">
        <w:rPr>
          <w:rFonts w:ascii="Times New Roman" w:hAnsi="Times New Roman" w:cs="Times New Roman"/>
          <w:sz w:val="24"/>
          <w:szCs w:val="24"/>
        </w:rPr>
        <w:t>Our pigs animal model, are planned to be subjected to coronary bypass surgery. The implanted vessels to be harvested at different time points 0 hour, 1 hour, 3 hours, 1 day, 4 days, 1 week and 2 weeks to calculate the development of intimal hyperplasia at vein to artery versus artery to artery implantation sites, based on the intimal area/ total circumference area (RI) ratio</w:t>
      </w:r>
      <w:r w:rsidR="00620AAD" w:rsidRPr="00C774AA">
        <w:rPr>
          <w:rFonts w:ascii="Times New Roman" w:hAnsi="Times New Roman" w:cs="Times New Roman"/>
          <w:sz w:val="24"/>
          <w:szCs w:val="24"/>
        </w:rPr>
        <w:t>.</w:t>
      </w:r>
    </w:p>
    <w:p w:rsidR="00653397" w:rsidRDefault="00653397" w:rsidP="00620AAD">
      <w:pPr>
        <w:spacing w:line="360" w:lineRule="auto"/>
        <w:jc w:val="both"/>
        <w:rPr>
          <w:rFonts w:ascii="Times New Roman" w:hAnsi="Times New Roman" w:cs="Times New Roman"/>
          <w:sz w:val="24"/>
          <w:szCs w:val="24"/>
        </w:rPr>
      </w:pPr>
    </w:p>
    <w:p w:rsidR="00620AAD" w:rsidRPr="00A772F2" w:rsidRDefault="00A249E1" w:rsidP="00620AAD">
      <w:pPr>
        <w:spacing w:line="360" w:lineRule="auto"/>
        <w:jc w:val="both"/>
        <w:rPr>
          <w:rFonts w:ascii="Times New Roman" w:eastAsia="+mn-ea" w:hAnsi="Times New Roman" w:cs="Times New Roman"/>
          <w:color w:val="000000"/>
          <w:kern w:val="24"/>
          <w:sz w:val="24"/>
          <w:szCs w:val="24"/>
        </w:rPr>
      </w:pPr>
      <w:r w:rsidRPr="00A772F2">
        <w:rPr>
          <w:rFonts w:ascii="Times New Roman" w:eastAsia="+mn-ea" w:hAnsi="Times New Roman" w:cs="Times New Roman"/>
          <w:color w:val="000000"/>
          <w:kern w:val="24"/>
          <w:sz w:val="24"/>
          <w:szCs w:val="24"/>
        </w:rPr>
        <w:t xml:space="preserve">Our expected results may be helpful to show  that TNF-α mRNA expression and the development of the neo-intimal hyperplasia in  providing the </w:t>
      </w:r>
      <w:r w:rsidRPr="00A772F2">
        <w:rPr>
          <w:rFonts w:ascii="Times New Roman" w:eastAsia="+mn-ea" w:hAnsi="Times New Roman" w:cs="Times New Roman"/>
          <w:kern w:val="24"/>
          <w:sz w:val="24"/>
          <w:szCs w:val="24"/>
        </w:rPr>
        <w:t>evidence of a direct pro-inflammatory cytokine signaling link between the biomechanical forces on the vessel wall</w:t>
      </w:r>
      <w:r w:rsidRPr="00A772F2">
        <w:rPr>
          <w:rFonts w:ascii="Times New Roman" w:eastAsia="+mn-ea" w:hAnsi="Times New Roman" w:cs="Times New Roman"/>
          <w:color w:val="FF0000"/>
          <w:kern w:val="24"/>
          <w:sz w:val="24"/>
          <w:szCs w:val="24"/>
        </w:rPr>
        <w:t xml:space="preserve"> </w:t>
      </w:r>
      <w:r w:rsidRPr="00A772F2">
        <w:rPr>
          <w:rFonts w:ascii="Times New Roman" w:eastAsia="+mn-ea" w:hAnsi="Times New Roman" w:cs="Times New Roman"/>
          <w:color w:val="000000"/>
          <w:kern w:val="24"/>
          <w:sz w:val="24"/>
          <w:szCs w:val="24"/>
        </w:rPr>
        <w:t>and the remodeling response.</w:t>
      </w:r>
    </w:p>
    <w:p w:rsidR="00653397" w:rsidRDefault="00620AAD" w:rsidP="00653397">
      <w:pPr>
        <w:spacing w:line="360" w:lineRule="auto"/>
        <w:jc w:val="both"/>
        <w:rPr>
          <w:rFonts w:eastAsia="+mn-ea"/>
          <w:color w:val="000000"/>
          <w:kern w:val="24"/>
          <w:sz w:val="24"/>
          <w:szCs w:val="24"/>
        </w:rPr>
      </w:pPr>
      <w:r w:rsidRPr="00A772F2">
        <w:rPr>
          <w:rFonts w:ascii="Times New Roman" w:eastAsia="+mn-ea" w:hAnsi="Times New Roman" w:cs="Times New Roman"/>
          <w:color w:val="000000"/>
          <w:kern w:val="24"/>
          <w:sz w:val="24"/>
          <w:szCs w:val="24"/>
        </w:rPr>
        <w:t xml:space="preserve">We are expecting that anastomosis of a vein graft to an artery will result in </w:t>
      </w:r>
      <w:r w:rsidRPr="00A772F2">
        <w:rPr>
          <w:rFonts w:ascii="Times New Roman" w:eastAsia="+mn-ea" w:hAnsi="Times New Roman" w:cs="Times New Roman"/>
          <w:kern w:val="24"/>
          <w:sz w:val="24"/>
          <w:szCs w:val="24"/>
        </w:rPr>
        <w:t xml:space="preserve">acute induction of intimal hyperplasia and expression of the TNF-α mRNA with an early increase within the first few hours, peaking at the first week post operatively. </w:t>
      </w:r>
      <w:r w:rsidRPr="00A772F2">
        <w:rPr>
          <w:rFonts w:ascii="Times New Roman" w:eastAsia="+mn-ea" w:hAnsi="Times New Roman" w:cs="Times New Roman"/>
          <w:color w:val="000000"/>
          <w:kern w:val="24"/>
          <w:sz w:val="24"/>
          <w:szCs w:val="24"/>
        </w:rPr>
        <w:t xml:space="preserve">This expression could be augmented by different factors including the accelerated intimal </w:t>
      </w:r>
      <w:r w:rsidR="00A772F2" w:rsidRPr="00A772F2">
        <w:rPr>
          <w:rFonts w:ascii="Times New Roman" w:eastAsia="+mn-ea" w:hAnsi="Times New Roman" w:cs="Times New Roman"/>
          <w:color w:val="000000"/>
          <w:kern w:val="24"/>
          <w:sz w:val="24"/>
          <w:szCs w:val="24"/>
        </w:rPr>
        <w:t>hyperplasia. The</w:t>
      </w:r>
      <w:r w:rsidR="00A249E1" w:rsidRPr="00A772F2">
        <w:rPr>
          <w:rFonts w:ascii="Times New Roman" w:eastAsia="+mn-ea" w:hAnsi="Times New Roman" w:cs="Times New Roman"/>
          <w:color w:val="000000"/>
          <w:kern w:val="24"/>
          <w:sz w:val="24"/>
          <w:szCs w:val="24"/>
        </w:rPr>
        <w:t xml:space="preserve"> expected high levels of TNF-α mRNA associated with the aggressive development of the intimal hyper plasia at the venous side of the anastomosis </w:t>
      </w:r>
      <w:r w:rsidR="00A249E1" w:rsidRPr="00A772F2">
        <w:rPr>
          <w:rFonts w:ascii="Times New Roman" w:eastAsia="+mn-ea" w:hAnsi="Times New Roman" w:cs="Times New Roman"/>
          <w:kern w:val="24"/>
          <w:sz w:val="24"/>
          <w:szCs w:val="24"/>
        </w:rPr>
        <w:t xml:space="preserve">could be similar to human </w:t>
      </w:r>
      <w:r w:rsidR="00A772F2" w:rsidRPr="00A772F2">
        <w:rPr>
          <w:rFonts w:ascii="Times New Roman" w:eastAsia="+mn-ea" w:hAnsi="Times New Roman" w:cs="Times New Roman"/>
          <w:kern w:val="24"/>
          <w:sz w:val="24"/>
          <w:szCs w:val="24"/>
        </w:rPr>
        <w:t>studies</w:t>
      </w:r>
      <w:r w:rsidR="00A772F2" w:rsidRPr="00A772F2">
        <w:rPr>
          <w:rFonts w:ascii="Times New Roman" w:eastAsia="+mn-ea" w:hAnsi="Times New Roman" w:cs="Times New Roman"/>
          <w:color w:val="FF0000"/>
          <w:kern w:val="24"/>
          <w:sz w:val="24"/>
          <w:szCs w:val="24"/>
        </w:rPr>
        <w:t>.</w:t>
      </w:r>
      <w:r w:rsidR="00A772F2" w:rsidRPr="00A772F2">
        <w:rPr>
          <w:rFonts w:eastAsia="+mn-ea"/>
          <w:color w:val="000000"/>
          <w:kern w:val="24"/>
          <w:sz w:val="24"/>
          <w:szCs w:val="24"/>
        </w:rPr>
        <w:t xml:space="preserve"> The</w:t>
      </w:r>
      <w:r w:rsidRPr="00A772F2">
        <w:rPr>
          <w:rFonts w:eastAsia="+mn-ea"/>
          <w:color w:val="000000"/>
          <w:kern w:val="24"/>
          <w:sz w:val="24"/>
          <w:szCs w:val="24"/>
        </w:rPr>
        <w:t xml:space="preserve"> proposed study</w:t>
      </w:r>
      <w:r w:rsidRPr="00A772F2">
        <w:rPr>
          <w:rFonts w:eastAsia="+mn-ea"/>
          <w:color w:val="FF0000"/>
          <w:kern w:val="24"/>
          <w:sz w:val="24"/>
          <w:szCs w:val="24"/>
        </w:rPr>
        <w:t xml:space="preserve"> </w:t>
      </w:r>
      <w:r w:rsidRPr="00A772F2">
        <w:rPr>
          <w:rFonts w:eastAsia="+mn-ea"/>
          <w:kern w:val="24"/>
          <w:sz w:val="24"/>
          <w:szCs w:val="24"/>
        </w:rPr>
        <w:t>could be an important step</w:t>
      </w:r>
      <w:r w:rsidRPr="00A772F2">
        <w:rPr>
          <w:rFonts w:eastAsia="+mn-ea"/>
          <w:color w:val="FF0000"/>
          <w:kern w:val="24"/>
          <w:sz w:val="24"/>
          <w:szCs w:val="24"/>
        </w:rPr>
        <w:t xml:space="preserve"> </w:t>
      </w:r>
      <w:r w:rsidRPr="00A772F2">
        <w:rPr>
          <w:rFonts w:eastAsia="+mn-ea"/>
          <w:color w:val="000000"/>
          <w:kern w:val="24"/>
          <w:sz w:val="24"/>
          <w:szCs w:val="24"/>
        </w:rPr>
        <w:t xml:space="preserve">for </w:t>
      </w:r>
      <w:r w:rsidRPr="00A772F2">
        <w:rPr>
          <w:rFonts w:eastAsia="+mn-ea"/>
          <w:kern w:val="24"/>
          <w:sz w:val="24"/>
          <w:szCs w:val="24"/>
        </w:rPr>
        <w:t>better understanding</w:t>
      </w:r>
      <w:r w:rsidRPr="00A772F2">
        <w:rPr>
          <w:rFonts w:eastAsia="+mn-ea"/>
          <w:color w:val="FF0000"/>
          <w:kern w:val="24"/>
          <w:sz w:val="24"/>
          <w:szCs w:val="24"/>
        </w:rPr>
        <w:t xml:space="preserve"> </w:t>
      </w:r>
      <w:r w:rsidRPr="00A772F2">
        <w:rPr>
          <w:rFonts w:eastAsia="+mn-ea"/>
          <w:color w:val="000000"/>
          <w:kern w:val="24"/>
          <w:sz w:val="24"/>
          <w:szCs w:val="24"/>
        </w:rPr>
        <w:t>the pathogenesis of re-stenosis and the aggressive development of neo-intimal hyper plasia in association with the expression of TNF-α mRNA at the vein-artery anastomosis site which is different and much less on the artery-artery site of anastomosis accompanied by a dramatic expected decline in the TNF-α mRNA expression on the arterial side.</w:t>
      </w:r>
    </w:p>
    <w:p w:rsidR="00653397" w:rsidRPr="00653397" w:rsidRDefault="00653397" w:rsidP="00653397">
      <w:pPr>
        <w:spacing w:line="360" w:lineRule="auto"/>
        <w:jc w:val="both"/>
        <w:rPr>
          <w:rFonts w:eastAsia="+mn-ea"/>
          <w:color w:val="000000"/>
          <w:kern w:val="24"/>
          <w:sz w:val="24"/>
          <w:szCs w:val="24"/>
        </w:rPr>
      </w:pPr>
      <w:r w:rsidRPr="00653397">
        <w:rPr>
          <w:rFonts w:ascii="Times New Roman" w:hAnsi="Times New Roman" w:cs="Times New Roman"/>
          <w:sz w:val="24"/>
          <w:szCs w:val="24"/>
        </w:rPr>
        <w:t xml:space="preserve"> </w:t>
      </w:r>
      <w:r w:rsidRPr="00A772F2">
        <w:rPr>
          <w:rFonts w:ascii="Times New Roman" w:hAnsi="Times New Roman" w:cs="Times New Roman"/>
          <w:sz w:val="24"/>
          <w:szCs w:val="24"/>
        </w:rPr>
        <w:t>In conclusion, the study proposed that aggressive neo-intimal hyperplasia in animal pig model can develop early, and is associated with increased recruitment of macrophages capable of expressing TNF-α mRNA producing TNF-α.</w:t>
      </w:r>
    </w:p>
    <w:p w:rsidR="00620AAD" w:rsidRPr="00653397" w:rsidRDefault="00620AAD" w:rsidP="00653397">
      <w:pPr>
        <w:spacing w:line="360" w:lineRule="auto"/>
        <w:jc w:val="both"/>
        <w:rPr>
          <w:rFonts w:ascii="Times New Roman" w:eastAsia="+mn-ea" w:hAnsi="Times New Roman" w:cs="Times New Roman"/>
          <w:color w:val="000000"/>
          <w:kern w:val="24"/>
          <w:sz w:val="24"/>
          <w:szCs w:val="24"/>
        </w:rPr>
      </w:pPr>
      <w:r w:rsidRPr="00A772F2">
        <w:rPr>
          <w:rFonts w:eastAsia="+mn-ea"/>
          <w:color w:val="000000"/>
          <w:kern w:val="24"/>
          <w:sz w:val="24"/>
          <w:szCs w:val="24"/>
        </w:rPr>
        <w:t xml:space="preserve"> The above results may </w:t>
      </w:r>
      <w:r w:rsidRPr="00A772F2">
        <w:rPr>
          <w:rFonts w:eastAsia="+mn-ea"/>
          <w:kern w:val="24"/>
          <w:sz w:val="24"/>
          <w:szCs w:val="24"/>
        </w:rPr>
        <w:t>guide us to the use of arterial graft conduits in humans (total arterial revascularization)</w:t>
      </w:r>
      <w:r w:rsidRPr="00A772F2">
        <w:rPr>
          <w:rFonts w:eastAsia="+mn-ea"/>
          <w:color w:val="FF0000"/>
          <w:kern w:val="24"/>
          <w:sz w:val="24"/>
          <w:szCs w:val="24"/>
        </w:rPr>
        <w:t xml:space="preserve"> </w:t>
      </w:r>
      <w:r w:rsidRPr="00A772F2">
        <w:rPr>
          <w:rFonts w:eastAsia="+mn-ea"/>
          <w:color w:val="000000"/>
          <w:kern w:val="24"/>
          <w:sz w:val="24"/>
          <w:szCs w:val="24"/>
        </w:rPr>
        <w:t xml:space="preserve">using the different arterial conduits as left and right internal mammary </w:t>
      </w:r>
      <w:r w:rsidRPr="00A772F2">
        <w:rPr>
          <w:rFonts w:eastAsia="+mn-ea"/>
          <w:color w:val="000000"/>
          <w:kern w:val="24"/>
          <w:sz w:val="24"/>
          <w:szCs w:val="24"/>
        </w:rPr>
        <w:lastRenderedPageBreak/>
        <w:t>arteries, radial artery and others which could even be helpful in preventing the progression of the atherosclerotic process in the native coronary arteries.</w:t>
      </w:r>
    </w:p>
    <w:p w:rsidR="00061D72" w:rsidRDefault="00061D72" w:rsidP="00620AAD">
      <w:pPr>
        <w:spacing w:line="360" w:lineRule="auto"/>
        <w:jc w:val="both"/>
        <w:rPr>
          <w:rFonts w:ascii="Times New Roman" w:hAnsi="Times New Roman" w:cs="Times New Roman"/>
          <w:sz w:val="24"/>
          <w:szCs w:val="24"/>
        </w:rPr>
      </w:pPr>
      <w:r w:rsidRPr="00A772F2">
        <w:rPr>
          <w:rFonts w:ascii="Times New Roman" w:hAnsi="Times New Roman" w:cs="Times New Roman"/>
          <w:sz w:val="24"/>
          <w:szCs w:val="24"/>
        </w:rPr>
        <w:t>Thus, it becomes rather obvious that part of the disease management and therapeutic approach entails the modulation of the innate immune responses to lipoproteins.</w:t>
      </w:r>
      <w:bookmarkStart w:id="0" w:name="Sec1"/>
      <w:bookmarkEnd w:id="0"/>
    </w:p>
    <w:p w:rsidR="003A1B81" w:rsidRDefault="003A1B81" w:rsidP="00620AAD">
      <w:pPr>
        <w:spacing w:line="360" w:lineRule="auto"/>
        <w:jc w:val="both"/>
        <w:rPr>
          <w:rFonts w:ascii="Times New Roman" w:hAnsi="Times New Roman" w:cs="Times New Roman"/>
          <w:sz w:val="24"/>
          <w:szCs w:val="24"/>
        </w:rPr>
      </w:pPr>
      <w:r w:rsidRPr="006F51D2">
        <w:rPr>
          <w:rFonts w:ascii="Times New Roman" w:hAnsi="Times New Roman" w:cs="Times New Roman"/>
          <w:b/>
          <w:bCs/>
          <w:i/>
          <w:iCs/>
          <w:sz w:val="24"/>
          <w:szCs w:val="24"/>
        </w:rPr>
        <w:t>Key words</w:t>
      </w:r>
      <w:r>
        <w:rPr>
          <w:rFonts w:ascii="Times New Roman" w:hAnsi="Times New Roman" w:cs="Times New Roman"/>
          <w:sz w:val="24"/>
          <w:szCs w:val="24"/>
        </w:rPr>
        <w:t>: Intimal Hyper plasia, Aggressive Neointimal Hyperplasia, TNF-α expression.</w:t>
      </w:r>
    </w:p>
    <w:p w:rsidR="00C71677" w:rsidRPr="00C71677" w:rsidRDefault="00C71677" w:rsidP="00620AAD">
      <w:pPr>
        <w:spacing w:line="360" w:lineRule="auto"/>
        <w:jc w:val="both"/>
        <w:rPr>
          <w:rFonts w:ascii="Times New Roman" w:hAnsi="Times New Roman" w:cs="Times New Roman"/>
          <w:b/>
          <w:bCs/>
          <w:sz w:val="24"/>
          <w:szCs w:val="24"/>
        </w:rPr>
      </w:pPr>
      <w:r w:rsidRPr="00C71677">
        <w:rPr>
          <w:rFonts w:ascii="Times New Roman" w:hAnsi="Times New Roman" w:cs="Times New Roman"/>
          <w:b/>
          <w:bCs/>
          <w:sz w:val="24"/>
          <w:szCs w:val="24"/>
        </w:rPr>
        <w:t>References:</w:t>
      </w:r>
    </w:p>
    <w:p w:rsidR="00C71677" w:rsidRDefault="00061D72" w:rsidP="00C71677">
      <w:pPr>
        <w:pStyle w:val="ListParagraph"/>
        <w:numPr>
          <w:ilvl w:val="0"/>
          <w:numId w:val="2"/>
        </w:numPr>
        <w:rPr>
          <w:sz w:val="22"/>
        </w:rPr>
      </w:pPr>
      <w:r>
        <w:t xml:space="preserve">      </w:t>
      </w:r>
      <w:r w:rsidR="00C71677">
        <w:rPr>
          <w:rFonts w:asciiTheme="minorHAnsi" w:eastAsiaTheme="minorEastAsia" w:hAnsi="Calibri" w:cstheme="minorBidi"/>
          <w:color w:val="000000" w:themeColor="text1"/>
          <w:kern w:val="24"/>
          <w:sz w:val="22"/>
          <w:szCs w:val="22"/>
        </w:rPr>
        <w:t xml:space="preserve">1. A. A. Cuneo and M. V. Autieri, “Expression and function of anti-inflammatory interleukins: the other side of the vascular response to injury,” Current Vascular Pharmacology, vol. 7, no. 3, pp. 267–276, 2009. </w:t>
      </w:r>
    </w:p>
    <w:p w:rsidR="00C71677" w:rsidRDefault="00C71677" w:rsidP="00C71677">
      <w:pPr>
        <w:pStyle w:val="ListParagraph"/>
        <w:numPr>
          <w:ilvl w:val="0"/>
          <w:numId w:val="2"/>
        </w:numPr>
        <w:rPr>
          <w:sz w:val="22"/>
        </w:rPr>
      </w:pPr>
      <w:r>
        <w:rPr>
          <w:rFonts w:asciiTheme="minorHAnsi" w:eastAsiaTheme="minorEastAsia" w:hAnsi="Calibri" w:cstheme="minorBidi"/>
          <w:color w:val="000000" w:themeColor="text1"/>
          <w:kern w:val="24"/>
          <w:sz w:val="22"/>
          <w:szCs w:val="22"/>
        </w:rPr>
        <w:t> </w:t>
      </w:r>
    </w:p>
    <w:p w:rsidR="00C71677" w:rsidRDefault="00C71677" w:rsidP="00C71677">
      <w:pPr>
        <w:pStyle w:val="ListParagraph"/>
        <w:numPr>
          <w:ilvl w:val="0"/>
          <w:numId w:val="2"/>
        </w:numPr>
        <w:rPr>
          <w:sz w:val="22"/>
        </w:rPr>
      </w:pPr>
      <w:r>
        <w:rPr>
          <w:rFonts w:asciiTheme="minorHAnsi" w:eastAsiaTheme="minorEastAsia" w:hAnsi="Calibri" w:cstheme="minorBidi"/>
          <w:color w:val="000000" w:themeColor="text1"/>
          <w:kern w:val="24"/>
          <w:sz w:val="22"/>
          <w:szCs w:val="22"/>
        </w:rPr>
        <w:t>2. G. K. Hansson and A. Hermansson, “The immune system in atherosclerosis,” Nature immunology, vol.12, no.3, pp.204-212, 2011.</w:t>
      </w:r>
    </w:p>
    <w:p w:rsidR="00C71677" w:rsidRDefault="00C71677" w:rsidP="00C71677">
      <w:pPr>
        <w:pStyle w:val="ListParagraph"/>
        <w:numPr>
          <w:ilvl w:val="0"/>
          <w:numId w:val="2"/>
        </w:numPr>
        <w:rPr>
          <w:sz w:val="22"/>
        </w:rPr>
      </w:pPr>
      <w:r>
        <w:rPr>
          <w:rFonts w:asciiTheme="minorHAnsi" w:eastAsiaTheme="minorEastAsia" w:hAnsi="Calibri" w:cstheme="minorBidi"/>
          <w:color w:val="000000" w:themeColor="text1"/>
          <w:kern w:val="24"/>
          <w:sz w:val="22"/>
          <w:szCs w:val="22"/>
        </w:rPr>
        <w:t> </w:t>
      </w:r>
    </w:p>
    <w:p w:rsidR="00C71677" w:rsidRDefault="00C71677" w:rsidP="00C71677">
      <w:pPr>
        <w:pStyle w:val="ListParagraph"/>
        <w:numPr>
          <w:ilvl w:val="0"/>
          <w:numId w:val="2"/>
        </w:numPr>
        <w:rPr>
          <w:sz w:val="22"/>
        </w:rPr>
      </w:pPr>
      <w:r>
        <w:rPr>
          <w:rFonts w:asciiTheme="minorHAnsi" w:eastAsiaTheme="minorEastAsia" w:hAnsi="Calibri" w:cstheme="minorBidi"/>
          <w:color w:val="000000" w:themeColor="text1"/>
          <w:kern w:val="24"/>
          <w:sz w:val="22"/>
          <w:szCs w:val="22"/>
        </w:rPr>
        <w:t>3. P. Libby, P. M. Ridker, and G. K. Hansson, “Inflammation in atherosclerosis. From</w:t>
      </w:r>
    </w:p>
    <w:p w:rsidR="00C71677" w:rsidRDefault="00C71677" w:rsidP="00C71677">
      <w:pPr>
        <w:pStyle w:val="ListParagraph"/>
        <w:numPr>
          <w:ilvl w:val="0"/>
          <w:numId w:val="2"/>
        </w:numPr>
        <w:rPr>
          <w:sz w:val="22"/>
        </w:rPr>
      </w:pPr>
      <w:r>
        <w:rPr>
          <w:rFonts w:asciiTheme="minorHAnsi" w:eastAsiaTheme="minorEastAsia" w:hAnsi="Calibri" w:cstheme="minorBidi"/>
          <w:color w:val="000000" w:themeColor="text1"/>
          <w:kern w:val="24"/>
          <w:sz w:val="22"/>
          <w:szCs w:val="22"/>
        </w:rPr>
        <w:t>Pathophysiology to practice,” Journal of the American College of Cardiology, vol. 54, no. 23,pp. 2129–2138, 2009.</w:t>
      </w:r>
    </w:p>
    <w:p w:rsidR="00C71677" w:rsidRDefault="00C71677" w:rsidP="00C71677">
      <w:pPr>
        <w:pStyle w:val="ListParagraph"/>
        <w:numPr>
          <w:ilvl w:val="0"/>
          <w:numId w:val="2"/>
        </w:numPr>
        <w:rPr>
          <w:sz w:val="22"/>
        </w:rPr>
      </w:pPr>
      <w:r>
        <w:rPr>
          <w:rFonts w:asciiTheme="minorHAnsi" w:eastAsiaTheme="minorEastAsia" w:hAnsi="Calibri" w:cstheme="minorBidi"/>
          <w:b/>
          <w:bCs/>
          <w:color w:val="000000" w:themeColor="text1"/>
          <w:kern w:val="24"/>
          <w:sz w:val="22"/>
          <w:szCs w:val="22"/>
        </w:rPr>
        <w:t> </w:t>
      </w:r>
    </w:p>
    <w:p w:rsidR="00C71677" w:rsidRDefault="00C71677" w:rsidP="00C71677">
      <w:pPr>
        <w:pStyle w:val="ListParagraph"/>
        <w:numPr>
          <w:ilvl w:val="0"/>
          <w:numId w:val="2"/>
        </w:numPr>
        <w:rPr>
          <w:sz w:val="22"/>
        </w:rPr>
      </w:pPr>
      <w:r>
        <w:rPr>
          <w:rFonts w:asciiTheme="minorHAnsi" w:eastAsiaTheme="minorEastAsia" w:hAnsi="Calibri" w:cstheme="minorBidi"/>
          <w:color w:val="000000" w:themeColor="text1"/>
          <w:kern w:val="24"/>
          <w:sz w:val="22"/>
          <w:szCs w:val="22"/>
        </w:rPr>
        <w:t xml:space="preserve">4. Alderman EL, Kip KE, WhitlowPL, et al. Native coronary disease progression exceeds failed revascularization as a cause of angina after five years in the bypass angioplasty revascularization investigation( BARI).J Am Coll Cardiol2004;44:766-74.  </w:t>
      </w:r>
    </w:p>
    <w:p w:rsidR="00C71677" w:rsidRDefault="00C71677" w:rsidP="00C71677">
      <w:pPr>
        <w:pStyle w:val="ListParagraph"/>
        <w:numPr>
          <w:ilvl w:val="0"/>
          <w:numId w:val="2"/>
        </w:numPr>
        <w:rPr>
          <w:sz w:val="22"/>
        </w:rPr>
      </w:pPr>
      <w:r>
        <w:rPr>
          <w:rFonts w:asciiTheme="minorHAnsi" w:eastAsiaTheme="minorEastAsia" w:hAnsi="Calibri" w:cstheme="minorBidi"/>
          <w:color w:val="000000" w:themeColor="text1"/>
          <w:kern w:val="24"/>
          <w:sz w:val="22"/>
          <w:szCs w:val="22"/>
        </w:rPr>
        <w:t xml:space="preserve"> 5. Wu C, Zhao S, Wechsler AS, et al. Long term mortality of coronary artery </w:t>
      </w:r>
      <w:proofErr w:type="gramStart"/>
      <w:r>
        <w:rPr>
          <w:rFonts w:asciiTheme="minorHAnsi" w:eastAsiaTheme="minorEastAsia" w:hAnsi="Calibri" w:cstheme="minorBidi"/>
          <w:color w:val="000000" w:themeColor="text1"/>
          <w:kern w:val="24"/>
          <w:sz w:val="22"/>
          <w:szCs w:val="22"/>
        </w:rPr>
        <w:t>bypass</w:t>
      </w:r>
      <w:proofErr w:type="gramEnd"/>
      <w:r>
        <w:rPr>
          <w:rFonts w:asciiTheme="minorHAnsi" w:eastAsiaTheme="minorEastAsia" w:hAnsi="Calibri" w:cstheme="minorBidi"/>
          <w:color w:val="000000" w:themeColor="text1"/>
          <w:kern w:val="24"/>
          <w:sz w:val="22"/>
          <w:szCs w:val="22"/>
        </w:rPr>
        <w:t xml:space="preserve"> grafting and bare –metal stenting. Ann Thoracic Surgery 2011; 92:2132-8.</w:t>
      </w:r>
    </w:p>
    <w:p w:rsidR="00C71677" w:rsidRDefault="00C71677" w:rsidP="00C71677">
      <w:pPr>
        <w:pStyle w:val="ListParagraph"/>
        <w:numPr>
          <w:ilvl w:val="0"/>
          <w:numId w:val="2"/>
        </w:numPr>
        <w:rPr>
          <w:sz w:val="22"/>
        </w:rPr>
      </w:pPr>
      <w:r>
        <w:rPr>
          <w:rFonts w:asciiTheme="minorHAnsi" w:eastAsiaTheme="minorEastAsia" w:hAnsi="Calibri" w:cstheme="minorBidi"/>
          <w:color w:val="000000" w:themeColor="text1"/>
          <w:kern w:val="24"/>
          <w:sz w:val="22"/>
          <w:szCs w:val="22"/>
        </w:rPr>
        <w:t>6. E. A. Dennis and J. L. Witztum, “Fifty years of research on lipids,” Journal of lipid Research, vol. 50, supplement, p. S1, 2009.</w:t>
      </w:r>
    </w:p>
    <w:p w:rsidR="00C71677" w:rsidRDefault="00C71677" w:rsidP="00C71677">
      <w:pPr>
        <w:pStyle w:val="ListParagraph"/>
        <w:numPr>
          <w:ilvl w:val="0"/>
          <w:numId w:val="2"/>
        </w:numPr>
        <w:rPr>
          <w:sz w:val="22"/>
        </w:rPr>
      </w:pPr>
      <w:r>
        <w:rPr>
          <w:rFonts w:asciiTheme="minorHAnsi" w:eastAsiaTheme="minorEastAsia" w:hAnsi="Calibri" w:cstheme="minorBidi"/>
          <w:color w:val="000000" w:themeColor="text1"/>
          <w:kern w:val="24"/>
          <w:sz w:val="22"/>
          <w:szCs w:val="22"/>
        </w:rPr>
        <w:t> </w:t>
      </w:r>
    </w:p>
    <w:p w:rsidR="00C71677" w:rsidRDefault="00C71677" w:rsidP="00C71677">
      <w:pPr>
        <w:pStyle w:val="ListParagraph"/>
        <w:numPr>
          <w:ilvl w:val="0"/>
          <w:numId w:val="2"/>
        </w:numPr>
        <w:rPr>
          <w:sz w:val="22"/>
        </w:rPr>
      </w:pPr>
      <w:r>
        <w:rPr>
          <w:rFonts w:asciiTheme="minorHAnsi" w:eastAsiaTheme="minorEastAsia" w:hAnsi="Calibri" w:cstheme="minorBidi"/>
          <w:color w:val="000000" w:themeColor="text1"/>
          <w:kern w:val="24"/>
          <w:sz w:val="22"/>
          <w:szCs w:val="22"/>
        </w:rPr>
        <w:t>7. D. Steinberg, “The LDL modification hypothesis of athermogenesis: an: an update,” Journal of lipid Research, vol. 50, pp. S376–S381, 2009.</w:t>
      </w:r>
    </w:p>
    <w:p w:rsidR="00C71677" w:rsidRDefault="00C71677" w:rsidP="00C71677">
      <w:pPr>
        <w:pStyle w:val="ListParagraph"/>
        <w:numPr>
          <w:ilvl w:val="0"/>
          <w:numId w:val="2"/>
        </w:numPr>
        <w:rPr>
          <w:sz w:val="22"/>
        </w:rPr>
      </w:pPr>
      <w:r>
        <w:rPr>
          <w:rFonts w:asciiTheme="minorHAnsi" w:eastAsiaTheme="minorEastAsia" w:hAnsi="Calibri" w:cstheme="minorBidi"/>
          <w:color w:val="000000" w:themeColor="text1"/>
          <w:kern w:val="24"/>
          <w:sz w:val="22"/>
          <w:szCs w:val="22"/>
        </w:rPr>
        <w:t>8. D. F. J. Ketelhuth and G. K. Hansson, “Cellular immunity, low-density lipoprotein and atherosclerosis: break of tolerance in the artery wall,” Thrombosis and Hemostasis, vol.</w:t>
      </w:r>
    </w:p>
    <w:p w:rsidR="00C71677" w:rsidRDefault="00C71677" w:rsidP="00C71677">
      <w:pPr>
        <w:pStyle w:val="ListParagraph"/>
        <w:numPr>
          <w:ilvl w:val="0"/>
          <w:numId w:val="2"/>
        </w:numPr>
        <w:rPr>
          <w:sz w:val="22"/>
        </w:rPr>
      </w:pPr>
      <w:r>
        <w:rPr>
          <w:rFonts w:asciiTheme="minorHAnsi" w:eastAsiaTheme="minorEastAsia" w:hAnsi="Calibri" w:cstheme="minorBidi"/>
          <w:color w:val="000000" w:themeColor="text1"/>
          <w:kern w:val="24"/>
          <w:sz w:val="22"/>
          <w:szCs w:val="22"/>
        </w:rPr>
        <w:t>106, no. 5, pp. 779–786, 2011.</w:t>
      </w:r>
    </w:p>
    <w:p w:rsidR="00C71677" w:rsidRDefault="00C71677" w:rsidP="00C71677">
      <w:pPr>
        <w:pStyle w:val="ListParagraph"/>
        <w:numPr>
          <w:ilvl w:val="0"/>
          <w:numId w:val="2"/>
        </w:numPr>
        <w:rPr>
          <w:sz w:val="22"/>
        </w:rPr>
      </w:pPr>
      <w:r>
        <w:rPr>
          <w:rFonts w:asciiTheme="minorHAnsi" w:eastAsiaTheme="minorEastAsia" w:hAnsi="Calibri" w:cstheme="minorBidi"/>
          <w:color w:val="000000" w:themeColor="text1"/>
          <w:kern w:val="24"/>
          <w:sz w:val="22"/>
          <w:szCs w:val="22"/>
        </w:rPr>
        <w:t xml:space="preserve">9. G. K. Hansson, “Inflammatory mechanisms in atherosclerosis, </w:t>
      </w:r>
      <w:r>
        <w:rPr>
          <w:rFonts w:asciiTheme="minorHAnsi" w:eastAsiaTheme="minorEastAsia" w:hAnsi="Calibri" w:cstheme="minorBidi"/>
          <w:i/>
          <w:iCs/>
          <w:color w:val="000000" w:themeColor="text1"/>
          <w:kern w:val="24"/>
          <w:sz w:val="22"/>
          <w:szCs w:val="22"/>
        </w:rPr>
        <w:t>“</w:t>
      </w:r>
      <w:r>
        <w:rPr>
          <w:rFonts w:asciiTheme="minorHAnsi" w:eastAsiaTheme="minorEastAsia" w:hAnsi="Calibri" w:cstheme="minorBidi"/>
          <w:color w:val="000000" w:themeColor="text1"/>
          <w:kern w:val="24"/>
          <w:sz w:val="22"/>
          <w:szCs w:val="22"/>
        </w:rPr>
        <w:t>Journal of Thrombosis and</w:t>
      </w:r>
    </w:p>
    <w:p w:rsidR="00C71677" w:rsidRDefault="00C71677" w:rsidP="00C71677">
      <w:pPr>
        <w:pStyle w:val="ListParagraph"/>
        <w:numPr>
          <w:ilvl w:val="0"/>
          <w:numId w:val="2"/>
        </w:numPr>
        <w:rPr>
          <w:sz w:val="22"/>
        </w:rPr>
      </w:pPr>
      <w:r>
        <w:rPr>
          <w:rFonts w:asciiTheme="minorHAnsi" w:eastAsiaTheme="minorEastAsia" w:hAnsi="Calibri" w:cstheme="minorBidi"/>
          <w:color w:val="000000" w:themeColor="text1"/>
          <w:kern w:val="24"/>
          <w:sz w:val="22"/>
          <w:szCs w:val="22"/>
        </w:rPr>
        <w:t>Hemostasis, vol. 7, supplement1, pp. 328–331, 2009.</w:t>
      </w:r>
    </w:p>
    <w:p w:rsidR="00C71677" w:rsidRDefault="00C71677" w:rsidP="00C71677">
      <w:pPr>
        <w:pStyle w:val="ListParagraph"/>
        <w:numPr>
          <w:ilvl w:val="0"/>
          <w:numId w:val="2"/>
        </w:numPr>
        <w:rPr>
          <w:sz w:val="22"/>
        </w:rPr>
      </w:pPr>
      <w:r>
        <w:rPr>
          <w:rFonts w:asciiTheme="minorHAnsi" w:eastAsiaTheme="minorEastAsia" w:hAnsi="Calibri" w:cstheme="minorBidi"/>
          <w:color w:val="000000" w:themeColor="text1"/>
          <w:kern w:val="24"/>
          <w:sz w:val="22"/>
          <w:szCs w:val="22"/>
        </w:rPr>
        <w:t> </w:t>
      </w:r>
    </w:p>
    <w:p w:rsidR="00C71677" w:rsidRDefault="00C71677" w:rsidP="00C71677">
      <w:pPr>
        <w:pStyle w:val="ListParagraph"/>
        <w:numPr>
          <w:ilvl w:val="0"/>
          <w:numId w:val="2"/>
        </w:numPr>
        <w:rPr>
          <w:sz w:val="22"/>
        </w:rPr>
      </w:pPr>
      <w:r>
        <w:rPr>
          <w:rFonts w:asciiTheme="minorHAnsi" w:eastAsiaTheme="minorEastAsia" w:hAnsi="Calibri" w:cstheme="minorBidi"/>
          <w:color w:val="000000" w:themeColor="text1"/>
          <w:kern w:val="24"/>
          <w:sz w:val="22"/>
          <w:szCs w:val="22"/>
        </w:rPr>
        <w:t>10. J. Anderson, P. Libby, and G. K. Hansson, “Adaptive immunity and atherosclerosis,” Clinical Immunology, vol.134, no. 1, pp. 33–46, 2010.</w:t>
      </w:r>
    </w:p>
    <w:p w:rsidR="00061D72" w:rsidRDefault="00061D72" w:rsidP="00620AAD">
      <w:pPr>
        <w:spacing w:line="360" w:lineRule="auto"/>
        <w:jc w:val="both"/>
        <w:rPr>
          <w:b/>
          <w:sz w:val="28"/>
          <w:szCs w:val="28"/>
        </w:rPr>
      </w:pPr>
      <w:r>
        <w:rPr>
          <w:rFonts w:ascii="Times New Roman" w:hAnsi="Times New Roman" w:cs="Times New Roman"/>
          <w:sz w:val="24"/>
          <w:szCs w:val="24"/>
        </w:rPr>
        <w:t xml:space="preserve">                                                                  </w:t>
      </w:r>
    </w:p>
    <w:p w:rsidR="00061D72" w:rsidRDefault="00061D72" w:rsidP="00620AAD">
      <w:pPr>
        <w:spacing w:after="0" w:line="360" w:lineRule="auto"/>
        <w:jc w:val="both"/>
        <w:rPr>
          <w:b/>
          <w:sz w:val="28"/>
          <w:szCs w:val="28"/>
        </w:rPr>
        <w:sectPr w:rsidR="00061D72">
          <w:pgSz w:w="12240" w:h="15840"/>
          <w:pgMar w:top="1440" w:right="1440" w:bottom="1440" w:left="1440" w:header="720" w:footer="720" w:gutter="0"/>
          <w:pgNumType w:fmt="upperRoman" w:start="1"/>
          <w:cols w:space="720"/>
        </w:sectPr>
      </w:pPr>
    </w:p>
    <w:p w:rsidR="00607450" w:rsidRDefault="001F2E3D" w:rsidP="00607450">
      <w:pPr>
        <w:rPr>
          <w:rFonts w:ascii="Times New Roman" w:hAnsi="Times New Roman" w:cs="Times New Roman"/>
          <w:b/>
          <w:i/>
          <w:iCs/>
          <w:sz w:val="24"/>
          <w:szCs w:val="24"/>
        </w:rPr>
      </w:pPr>
      <w:r w:rsidRPr="001F2E3D">
        <w:rPr>
          <w:b/>
          <w:bCs/>
          <w:sz w:val="24"/>
          <w:szCs w:val="24"/>
        </w:rPr>
        <w:lastRenderedPageBreak/>
        <w:t>Biography</w:t>
      </w:r>
      <w:r>
        <w:rPr>
          <w:b/>
          <w:bCs/>
          <w:sz w:val="24"/>
          <w:szCs w:val="24"/>
        </w:rPr>
        <w:t>:</w:t>
      </w:r>
      <w:r w:rsidR="00607450" w:rsidRPr="00607450">
        <w:rPr>
          <w:rFonts w:ascii="Times New Roman" w:hAnsi="Times New Roman" w:cs="Times New Roman"/>
          <w:b/>
          <w:i/>
          <w:iCs/>
          <w:sz w:val="24"/>
          <w:szCs w:val="24"/>
        </w:rPr>
        <w:t xml:space="preserve"> </w:t>
      </w:r>
    </w:p>
    <w:p w:rsidR="00607450" w:rsidRPr="00D35BAD" w:rsidRDefault="00607450" w:rsidP="00607450">
      <w:pPr>
        <w:rPr>
          <w:rFonts w:ascii="Times New Roman" w:hAnsi="Times New Roman" w:cs="Times New Roman"/>
          <w:b/>
          <w:i/>
          <w:iCs/>
          <w:sz w:val="24"/>
          <w:szCs w:val="24"/>
        </w:rPr>
      </w:pPr>
      <w:r w:rsidRPr="00D35BAD">
        <w:rPr>
          <w:rFonts w:ascii="Times New Roman" w:hAnsi="Times New Roman" w:cs="Times New Roman"/>
          <w:b/>
          <w:i/>
          <w:iCs/>
          <w:sz w:val="24"/>
          <w:szCs w:val="24"/>
        </w:rPr>
        <w:t>Dr. Mutaz Fakhry Al-</w:t>
      </w:r>
      <w:r w:rsidRPr="00D35BAD">
        <w:rPr>
          <w:rFonts w:ascii="Times New Roman" w:hAnsi="Times New Roman" w:cs="Times New Roman"/>
          <w:b/>
          <w:i/>
          <w:iCs/>
          <w:sz w:val="24"/>
          <w:szCs w:val="24"/>
        </w:rPr>
        <w:t>Khateeb</w:t>
      </w:r>
      <w:r w:rsidRPr="00D35BAD">
        <w:rPr>
          <w:rFonts w:ascii="Times New Roman" w:hAnsi="Times New Roman" w:cs="Times New Roman"/>
          <w:b/>
          <w:i/>
          <w:iCs/>
          <w:sz w:val="24"/>
          <w:szCs w:val="24"/>
        </w:rPr>
        <w:t xml:space="preserve"> MD, FIBMS, MS, FCRC, FACS, FISS</w:t>
      </w:r>
    </w:p>
    <w:p w:rsidR="00607450" w:rsidRDefault="00607450" w:rsidP="00607450">
      <w:pPr>
        <w:rPr>
          <w:rFonts w:ascii="Times New Roman" w:hAnsi="Times New Roman" w:cs="Times New Roman"/>
          <w:b/>
          <w:i/>
          <w:iCs/>
          <w:sz w:val="24"/>
          <w:szCs w:val="24"/>
        </w:rPr>
      </w:pPr>
      <w:r w:rsidRPr="00D35BAD">
        <w:rPr>
          <w:rFonts w:ascii="Times New Roman" w:hAnsi="Times New Roman" w:cs="Times New Roman"/>
          <w:b/>
          <w:i/>
          <w:iCs/>
          <w:sz w:val="24"/>
          <w:szCs w:val="24"/>
        </w:rPr>
        <w:t>Senior Consultant Cardiothoracic and Vascular Surgeon</w:t>
      </w:r>
    </w:p>
    <w:p w:rsidR="00607450" w:rsidRDefault="00607450" w:rsidP="00607450">
      <w:pPr>
        <w:rPr>
          <w:rFonts w:ascii="Times New Roman" w:hAnsi="Times New Roman" w:cs="Times New Roman"/>
          <w:b/>
          <w:i/>
          <w:iCs/>
          <w:sz w:val="24"/>
          <w:szCs w:val="24"/>
        </w:rPr>
      </w:pPr>
      <w:r>
        <w:rPr>
          <w:rFonts w:ascii="Times New Roman" w:hAnsi="Times New Roman" w:cs="Times New Roman"/>
          <w:b/>
          <w:i/>
          <w:iCs/>
          <w:sz w:val="24"/>
          <w:szCs w:val="24"/>
        </w:rPr>
        <w:t>Professor in Cardiothoracic and Vascular surgery</w:t>
      </w:r>
    </w:p>
    <w:p w:rsidR="00607450" w:rsidRDefault="00607450" w:rsidP="00607450">
      <w:pPr>
        <w:rPr>
          <w:rFonts w:ascii="Times New Roman" w:hAnsi="Times New Roman" w:cs="Times New Roman"/>
          <w:b/>
          <w:bCs/>
          <w:i/>
          <w:iCs/>
          <w:sz w:val="24"/>
          <w:szCs w:val="24"/>
        </w:rPr>
      </w:pPr>
      <w:r w:rsidRPr="003A1B81">
        <w:rPr>
          <w:rFonts w:ascii="Times New Roman" w:hAnsi="Times New Roman" w:cs="Times New Roman"/>
          <w:b/>
          <w:bCs/>
          <w:i/>
          <w:iCs/>
          <w:sz w:val="24"/>
          <w:szCs w:val="24"/>
        </w:rPr>
        <w:t xml:space="preserve"> </w:t>
      </w:r>
      <w:r w:rsidRPr="00D35BAD">
        <w:rPr>
          <w:rFonts w:ascii="Times New Roman" w:hAnsi="Times New Roman" w:cs="Times New Roman"/>
          <w:b/>
          <w:bCs/>
          <w:i/>
          <w:iCs/>
          <w:sz w:val="24"/>
          <w:szCs w:val="24"/>
        </w:rPr>
        <w:t>Seton Hall University</w:t>
      </w:r>
      <w:r>
        <w:rPr>
          <w:rFonts w:ascii="Times New Roman" w:hAnsi="Times New Roman" w:cs="Times New Roman"/>
          <w:b/>
          <w:bCs/>
          <w:i/>
          <w:iCs/>
          <w:sz w:val="24"/>
          <w:szCs w:val="24"/>
        </w:rPr>
        <w:t>/</w:t>
      </w:r>
      <w:r w:rsidRPr="00D35BAD">
        <w:rPr>
          <w:rFonts w:ascii="Times New Roman" w:hAnsi="Times New Roman" w:cs="Times New Roman"/>
          <w:b/>
          <w:bCs/>
          <w:i/>
          <w:iCs/>
          <w:sz w:val="24"/>
          <w:szCs w:val="24"/>
        </w:rPr>
        <w:t xml:space="preserve"> College of Arts and Science- South Orange, NJ-USA</w:t>
      </w:r>
    </w:p>
    <w:p w:rsidR="00607450" w:rsidRDefault="00607450" w:rsidP="00607450">
      <w:pPr>
        <w:rPr>
          <w:rFonts w:ascii="Times New Roman" w:hAnsi="Times New Roman" w:cs="Times New Roman"/>
          <w:b/>
          <w:bCs/>
          <w:i/>
          <w:iCs/>
          <w:sz w:val="24"/>
          <w:szCs w:val="24"/>
        </w:rPr>
      </w:pPr>
      <w:r>
        <w:rPr>
          <w:rFonts w:ascii="Times New Roman" w:hAnsi="Times New Roman" w:cs="Times New Roman"/>
          <w:b/>
          <w:bCs/>
          <w:i/>
          <w:iCs/>
          <w:sz w:val="24"/>
          <w:szCs w:val="24"/>
        </w:rPr>
        <w:t>Albert Einstein College of medicine, NY-USA</w:t>
      </w:r>
    </w:p>
    <w:p w:rsidR="00607450" w:rsidRDefault="00607450" w:rsidP="00607450">
      <w:pPr>
        <w:rPr>
          <w:rFonts w:ascii="Times New Roman" w:hAnsi="Times New Roman" w:cs="Times New Roman"/>
          <w:b/>
          <w:bCs/>
          <w:i/>
          <w:iCs/>
          <w:sz w:val="24"/>
          <w:szCs w:val="24"/>
        </w:rPr>
      </w:pPr>
      <w:r>
        <w:rPr>
          <w:rFonts w:ascii="Times New Roman" w:hAnsi="Times New Roman" w:cs="Times New Roman"/>
          <w:b/>
          <w:bCs/>
          <w:i/>
          <w:iCs/>
          <w:sz w:val="24"/>
          <w:szCs w:val="24"/>
        </w:rPr>
        <w:t xml:space="preserve">Al-Bashir Teaching Hospital, Ministry of Health, Jordan Royal Hashemite Kingdom  </w:t>
      </w:r>
      <w:r>
        <w:rPr>
          <w:rFonts w:ascii="Times New Roman" w:hAnsi="Times New Roman" w:cs="Times New Roman"/>
          <w:b/>
          <w:bCs/>
          <w:i/>
          <w:iCs/>
          <w:sz w:val="24"/>
          <w:szCs w:val="24"/>
        </w:rPr>
        <w:t xml:space="preserve"> </w:t>
      </w:r>
    </w:p>
    <w:p w:rsidR="00607450" w:rsidRDefault="00607450" w:rsidP="00607450">
      <w:pPr>
        <w:rPr>
          <w:rFonts w:ascii="Times New Roman" w:hAnsi="Times New Roman" w:cs="Times New Roman"/>
          <w:b/>
          <w:bCs/>
          <w:i/>
          <w:iCs/>
          <w:sz w:val="24"/>
          <w:szCs w:val="24"/>
        </w:rPr>
      </w:pPr>
      <w:r>
        <w:rPr>
          <w:rFonts w:ascii="Times New Roman" w:hAnsi="Times New Roman" w:cs="Times New Roman"/>
          <w:b/>
          <w:bCs/>
          <w:i/>
          <w:iCs/>
          <w:sz w:val="24"/>
          <w:szCs w:val="24"/>
        </w:rPr>
        <w:t>Al-Qassimi Hospital</w:t>
      </w:r>
      <w:r>
        <w:rPr>
          <w:rFonts w:ascii="Times New Roman" w:hAnsi="Times New Roman" w:cs="Times New Roman"/>
          <w:b/>
          <w:bCs/>
          <w:i/>
          <w:iCs/>
          <w:sz w:val="24"/>
          <w:szCs w:val="24"/>
        </w:rPr>
        <w:t>, Ministry of Health</w:t>
      </w:r>
      <w:r>
        <w:rPr>
          <w:rFonts w:ascii="Times New Roman" w:hAnsi="Times New Roman" w:cs="Times New Roman"/>
          <w:b/>
          <w:bCs/>
          <w:i/>
          <w:iCs/>
          <w:sz w:val="24"/>
          <w:szCs w:val="24"/>
        </w:rPr>
        <w:t xml:space="preserve"> / UAE</w:t>
      </w:r>
    </w:p>
    <w:p w:rsidR="001F2E3D" w:rsidRDefault="001F2E3D" w:rsidP="001F2E3D">
      <w:pPr>
        <w:contextualSpacing/>
        <w:jc w:val="both"/>
        <w:rPr>
          <w:b/>
          <w:bCs/>
          <w:sz w:val="24"/>
          <w:szCs w:val="24"/>
        </w:rPr>
      </w:pPr>
    </w:p>
    <w:p w:rsidR="00607450" w:rsidRDefault="00607450" w:rsidP="001F2E3D">
      <w:pPr>
        <w:contextualSpacing/>
        <w:jc w:val="both"/>
        <w:rPr>
          <w:b/>
          <w:bCs/>
          <w:sz w:val="24"/>
          <w:szCs w:val="24"/>
        </w:rPr>
      </w:pPr>
    </w:p>
    <w:p w:rsidR="00607450" w:rsidRPr="001F2E3D" w:rsidRDefault="00607450" w:rsidP="001F2E3D">
      <w:pPr>
        <w:contextualSpacing/>
        <w:jc w:val="both"/>
        <w:rPr>
          <w:b/>
          <w:bCs/>
          <w:sz w:val="24"/>
          <w:szCs w:val="24"/>
        </w:rPr>
      </w:pPr>
    </w:p>
    <w:p w:rsidR="001F2E3D" w:rsidRDefault="001F2E3D" w:rsidP="001F2E3D">
      <w:pPr>
        <w:ind w:left="720"/>
        <w:contextualSpacing/>
        <w:jc w:val="both"/>
      </w:pPr>
    </w:p>
    <w:p w:rsidR="001F2E3D" w:rsidRDefault="001F2E3D" w:rsidP="001F2E3D">
      <w:pPr>
        <w:ind w:left="720"/>
        <w:contextualSpacing/>
        <w:jc w:val="both"/>
      </w:pPr>
    </w:p>
    <w:p w:rsidR="001F2E3D" w:rsidRPr="001F2E3D" w:rsidRDefault="001F2E3D" w:rsidP="001F2E3D">
      <w:pPr>
        <w:numPr>
          <w:ilvl w:val="0"/>
          <w:numId w:val="3"/>
        </w:numPr>
        <w:contextualSpacing/>
        <w:jc w:val="both"/>
      </w:pPr>
      <w:r w:rsidRPr="001F2E3D">
        <w:t xml:space="preserve">Extensive academic and clinical teaching experiences: Lectures, seminars, academic examinations, tutorial sessions for graduates and undergraduate students of </w:t>
      </w:r>
      <w:r w:rsidR="00607450" w:rsidRPr="001F2E3D">
        <w:t>medicine, and</w:t>
      </w:r>
      <w:r>
        <w:t xml:space="preserve"> multi center affiliations, with extensive surgical experience.</w:t>
      </w:r>
    </w:p>
    <w:p w:rsidR="001F2E3D" w:rsidRPr="001F2E3D" w:rsidRDefault="001F2E3D" w:rsidP="001F2E3D">
      <w:pPr>
        <w:ind w:left="720"/>
        <w:contextualSpacing/>
        <w:jc w:val="both"/>
      </w:pPr>
    </w:p>
    <w:p w:rsidR="001F2E3D" w:rsidRPr="001F2E3D" w:rsidRDefault="001F2E3D" w:rsidP="001F2E3D">
      <w:pPr>
        <w:numPr>
          <w:ilvl w:val="0"/>
          <w:numId w:val="3"/>
        </w:numPr>
        <w:contextualSpacing/>
        <w:jc w:val="both"/>
      </w:pPr>
      <w:r w:rsidRPr="001F2E3D">
        <w:t>Attending, participated as speaker, chair in numerous national and international congresses and workshops especially EACTS, WSCTS and STS</w:t>
      </w:r>
      <w:r>
        <w:t>, ACS</w:t>
      </w:r>
      <w:r w:rsidRPr="001F2E3D">
        <w:t xml:space="preserve"> congresses. </w:t>
      </w:r>
    </w:p>
    <w:p w:rsidR="001F2E3D" w:rsidRPr="001F2E3D" w:rsidRDefault="001F2E3D" w:rsidP="001F2E3D">
      <w:pPr>
        <w:ind w:left="720"/>
        <w:contextualSpacing/>
        <w:jc w:val="both"/>
      </w:pPr>
    </w:p>
    <w:p w:rsidR="00607450" w:rsidRDefault="001F2E3D" w:rsidP="001F2E3D">
      <w:pPr>
        <w:numPr>
          <w:ilvl w:val="0"/>
          <w:numId w:val="3"/>
        </w:numPr>
        <w:contextualSpacing/>
        <w:jc w:val="both"/>
      </w:pPr>
      <w:r w:rsidRPr="001F2E3D">
        <w:t>Numerous prestigious recognitions, nominations, national and international awards from various societies, institutes and conventions added to inclusions in published leading health professionals and intellectuals, Who’s Who inclusion, Golden Key International Honor Society, and many other awards for leadersh</w:t>
      </w:r>
      <w:r>
        <w:t xml:space="preserve">ip, excellence and profenalissm. </w:t>
      </w:r>
      <w:r w:rsidRPr="001F2E3D">
        <w:t xml:space="preserve">Was and still a member of various foreign and mission surgical </w:t>
      </w:r>
      <w:r w:rsidR="00607450" w:rsidRPr="001F2E3D">
        <w:t>teams,</w:t>
      </w:r>
      <w:r>
        <w:t xml:space="preserve"> performing </w:t>
      </w:r>
      <w:r w:rsidR="00607450">
        <w:t>Cardiothoracic,</w:t>
      </w:r>
      <w:r>
        <w:t xml:space="preserve"> vascular surgery in the </w:t>
      </w:r>
      <w:bookmarkStart w:id="1" w:name="_GoBack"/>
      <w:bookmarkEnd w:id="1"/>
      <w:r w:rsidR="00607450">
        <w:t>Middle East</w:t>
      </w:r>
      <w:r>
        <w:t xml:space="preserve"> area</w:t>
      </w:r>
      <w:r w:rsidR="00607450">
        <w:t>.</w:t>
      </w:r>
    </w:p>
    <w:p w:rsidR="00607450" w:rsidRDefault="00607450" w:rsidP="00607450">
      <w:pPr>
        <w:pStyle w:val="ListParagraph"/>
      </w:pPr>
    </w:p>
    <w:p w:rsidR="001F2E3D" w:rsidRPr="001F2E3D" w:rsidRDefault="00607450" w:rsidP="001F2E3D">
      <w:pPr>
        <w:numPr>
          <w:ilvl w:val="0"/>
          <w:numId w:val="3"/>
        </w:numPr>
        <w:contextualSpacing/>
        <w:jc w:val="both"/>
      </w:pPr>
      <w:r w:rsidRPr="001F2E3D">
        <w:t>Received</w:t>
      </w:r>
      <w:r>
        <w:t xml:space="preserve"> numerous</w:t>
      </w:r>
      <w:r>
        <w:t xml:space="preserve"> prestigious</w:t>
      </w:r>
      <w:r w:rsidRPr="001F2E3D">
        <w:t xml:space="preserve"> recognitions for academic</w:t>
      </w:r>
      <w:r>
        <w:t xml:space="preserve"> and clinical</w:t>
      </w:r>
      <w:r w:rsidRPr="001F2E3D">
        <w:t>, cardiothoracic and vascular surgery achievements</w:t>
      </w:r>
      <w:r>
        <w:t>, over years.</w:t>
      </w:r>
      <w:r w:rsidR="001F2E3D">
        <w:t xml:space="preserve"> </w:t>
      </w:r>
    </w:p>
    <w:p w:rsidR="00607450" w:rsidRDefault="00607450" w:rsidP="00607450">
      <w:pPr>
        <w:ind w:left="720"/>
        <w:contextualSpacing/>
        <w:jc w:val="both"/>
      </w:pPr>
    </w:p>
    <w:p w:rsidR="00607450" w:rsidRDefault="00607450" w:rsidP="00607450">
      <w:pPr>
        <w:contextualSpacing/>
        <w:jc w:val="both"/>
      </w:pPr>
      <w:r>
        <w:t xml:space="preserve">   </w:t>
      </w:r>
    </w:p>
    <w:p w:rsidR="001F2E3D" w:rsidRPr="001F2E3D" w:rsidRDefault="001F2E3D" w:rsidP="00607450">
      <w:pPr>
        <w:contextualSpacing/>
        <w:jc w:val="both"/>
      </w:pPr>
    </w:p>
    <w:p w:rsidR="001F2E3D" w:rsidRPr="001F2E3D" w:rsidRDefault="001F2E3D" w:rsidP="001F2E3D">
      <w:pPr>
        <w:jc w:val="both"/>
        <w:rPr>
          <w:b/>
          <w:u w:val="single"/>
        </w:rPr>
      </w:pPr>
    </w:p>
    <w:p w:rsidR="00061D72" w:rsidRPr="00061D72" w:rsidRDefault="00061D72" w:rsidP="00652680">
      <w:pPr>
        <w:jc w:val="both"/>
        <w:rPr>
          <w:rFonts w:ascii="Times New Roman" w:hAnsi="Times New Roman" w:cs="Times New Roman"/>
          <w:b/>
          <w:sz w:val="24"/>
          <w:szCs w:val="24"/>
        </w:rPr>
      </w:pPr>
    </w:p>
    <w:sectPr w:rsidR="00061D72" w:rsidRPr="00061D72" w:rsidSect="00595D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8E05E8"/>
    <w:multiLevelType w:val="hybridMultilevel"/>
    <w:tmpl w:val="8482DAEE"/>
    <w:lvl w:ilvl="0" w:tplc="6BF8A2BE">
      <w:start w:val="1"/>
      <w:numFmt w:val="bullet"/>
      <w:lvlText w:val="•"/>
      <w:lvlJc w:val="left"/>
      <w:pPr>
        <w:tabs>
          <w:tab w:val="num" w:pos="720"/>
        </w:tabs>
        <w:ind w:left="720" w:hanging="360"/>
      </w:pPr>
      <w:rPr>
        <w:rFonts w:ascii="Arial" w:hAnsi="Arial" w:hint="default"/>
      </w:rPr>
    </w:lvl>
    <w:lvl w:ilvl="1" w:tplc="F8F80EE6" w:tentative="1">
      <w:start w:val="1"/>
      <w:numFmt w:val="bullet"/>
      <w:lvlText w:val="•"/>
      <w:lvlJc w:val="left"/>
      <w:pPr>
        <w:tabs>
          <w:tab w:val="num" w:pos="1440"/>
        </w:tabs>
        <w:ind w:left="1440" w:hanging="360"/>
      </w:pPr>
      <w:rPr>
        <w:rFonts w:ascii="Arial" w:hAnsi="Arial" w:hint="default"/>
      </w:rPr>
    </w:lvl>
    <w:lvl w:ilvl="2" w:tplc="1046B874" w:tentative="1">
      <w:start w:val="1"/>
      <w:numFmt w:val="bullet"/>
      <w:lvlText w:val="•"/>
      <w:lvlJc w:val="left"/>
      <w:pPr>
        <w:tabs>
          <w:tab w:val="num" w:pos="2160"/>
        </w:tabs>
        <w:ind w:left="2160" w:hanging="360"/>
      </w:pPr>
      <w:rPr>
        <w:rFonts w:ascii="Arial" w:hAnsi="Arial" w:hint="default"/>
      </w:rPr>
    </w:lvl>
    <w:lvl w:ilvl="3" w:tplc="D6BEF66C" w:tentative="1">
      <w:start w:val="1"/>
      <w:numFmt w:val="bullet"/>
      <w:lvlText w:val="•"/>
      <w:lvlJc w:val="left"/>
      <w:pPr>
        <w:tabs>
          <w:tab w:val="num" w:pos="2880"/>
        </w:tabs>
        <w:ind w:left="2880" w:hanging="360"/>
      </w:pPr>
      <w:rPr>
        <w:rFonts w:ascii="Arial" w:hAnsi="Arial" w:hint="default"/>
      </w:rPr>
    </w:lvl>
    <w:lvl w:ilvl="4" w:tplc="0D6C3F56" w:tentative="1">
      <w:start w:val="1"/>
      <w:numFmt w:val="bullet"/>
      <w:lvlText w:val="•"/>
      <w:lvlJc w:val="left"/>
      <w:pPr>
        <w:tabs>
          <w:tab w:val="num" w:pos="3600"/>
        </w:tabs>
        <w:ind w:left="3600" w:hanging="360"/>
      </w:pPr>
      <w:rPr>
        <w:rFonts w:ascii="Arial" w:hAnsi="Arial" w:hint="default"/>
      </w:rPr>
    </w:lvl>
    <w:lvl w:ilvl="5" w:tplc="10140A54" w:tentative="1">
      <w:start w:val="1"/>
      <w:numFmt w:val="bullet"/>
      <w:lvlText w:val="•"/>
      <w:lvlJc w:val="left"/>
      <w:pPr>
        <w:tabs>
          <w:tab w:val="num" w:pos="4320"/>
        </w:tabs>
        <w:ind w:left="4320" w:hanging="360"/>
      </w:pPr>
      <w:rPr>
        <w:rFonts w:ascii="Arial" w:hAnsi="Arial" w:hint="default"/>
      </w:rPr>
    </w:lvl>
    <w:lvl w:ilvl="6" w:tplc="A912C3D8" w:tentative="1">
      <w:start w:val="1"/>
      <w:numFmt w:val="bullet"/>
      <w:lvlText w:val="•"/>
      <w:lvlJc w:val="left"/>
      <w:pPr>
        <w:tabs>
          <w:tab w:val="num" w:pos="5040"/>
        </w:tabs>
        <w:ind w:left="5040" w:hanging="360"/>
      </w:pPr>
      <w:rPr>
        <w:rFonts w:ascii="Arial" w:hAnsi="Arial" w:hint="default"/>
      </w:rPr>
    </w:lvl>
    <w:lvl w:ilvl="7" w:tplc="B30C8B8C" w:tentative="1">
      <w:start w:val="1"/>
      <w:numFmt w:val="bullet"/>
      <w:lvlText w:val="•"/>
      <w:lvlJc w:val="left"/>
      <w:pPr>
        <w:tabs>
          <w:tab w:val="num" w:pos="5760"/>
        </w:tabs>
        <w:ind w:left="5760" w:hanging="360"/>
      </w:pPr>
      <w:rPr>
        <w:rFonts w:ascii="Arial" w:hAnsi="Arial" w:hint="default"/>
      </w:rPr>
    </w:lvl>
    <w:lvl w:ilvl="8" w:tplc="0A828F00" w:tentative="1">
      <w:start w:val="1"/>
      <w:numFmt w:val="bullet"/>
      <w:lvlText w:val="•"/>
      <w:lvlJc w:val="left"/>
      <w:pPr>
        <w:tabs>
          <w:tab w:val="num" w:pos="6480"/>
        </w:tabs>
        <w:ind w:left="6480" w:hanging="360"/>
      </w:pPr>
      <w:rPr>
        <w:rFonts w:ascii="Arial" w:hAnsi="Arial" w:hint="default"/>
      </w:rPr>
    </w:lvl>
  </w:abstractNum>
  <w:abstractNum w:abstractNumId="1">
    <w:nsid w:val="64D519BD"/>
    <w:multiLevelType w:val="hybridMultilevel"/>
    <w:tmpl w:val="2B246E98"/>
    <w:lvl w:ilvl="0" w:tplc="1FB0156E">
      <w:start w:val="1"/>
      <w:numFmt w:val="bullet"/>
      <w:lvlText w:val="•"/>
      <w:lvlJc w:val="left"/>
      <w:pPr>
        <w:tabs>
          <w:tab w:val="num" w:pos="720"/>
        </w:tabs>
        <w:ind w:left="720" w:hanging="360"/>
      </w:pPr>
      <w:rPr>
        <w:rFonts w:ascii="Arial" w:hAnsi="Arial" w:hint="default"/>
      </w:rPr>
    </w:lvl>
    <w:lvl w:ilvl="1" w:tplc="6C240F2C" w:tentative="1">
      <w:start w:val="1"/>
      <w:numFmt w:val="bullet"/>
      <w:lvlText w:val="•"/>
      <w:lvlJc w:val="left"/>
      <w:pPr>
        <w:tabs>
          <w:tab w:val="num" w:pos="1440"/>
        </w:tabs>
        <w:ind w:left="1440" w:hanging="360"/>
      </w:pPr>
      <w:rPr>
        <w:rFonts w:ascii="Arial" w:hAnsi="Arial" w:hint="default"/>
      </w:rPr>
    </w:lvl>
    <w:lvl w:ilvl="2" w:tplc="7396A8F2" w:tentative="1">
      <w:start w:val="1"/>
      <w:numFmt w:val="bullet"/>
      <w:lvlText w:val="•"/>
      <w:lvlJc w:val="left"/>
      <w:pPr>
        <w:tabs>
          <w:tab w:val="num" w:pos="2160"/>
        </w:tabs>
        <w:ind w:left="2160" w:hanging="360"/>
      </w:pPr>
      <w:rPr>
        <w:rFonts w:ascii="Arial" w:hAnsi="Arial" w:hint="default"/>
      </w:rPr>
    </w:lvl>
    <w:lvl w:ilvl="3" w:tplc="DBAE53B2" w:tentative="1">
      <w:start w:val="1"/>
      <w:numFmt w:val="bullet"/>
      <w:lvlText w:val="•"/>
      <w:lvlJc w:val="left"/>
      <w:pPr>
        <w:tabs>
          <w:tab w:val="num" w:pos="2880"/>
        </w:tabs>
        <w:ind w:left="2880" w:hanging="360"/>
      </w:pPr>
      <w:rPr>
        <w:rFonts w:ascii="Arial" w:hAnsi="Arial" w:hint="default"/>
      </w:rPr>
    </w:lvl>
    <w:lvl w:ilvl="4" w:tplc="4A224ED2" w:tentative="1">
      <w:start w:val="1"/>
      <w:numFmt w:val="bullet"/>
      <w:lvlText w:val="•"/>
      <w:lvlJc w:val="left"/>
      <w:pPr>
        <w:tabs>
          <w:tab w:val="num" w:pos="3600"/>
        </w:tabs>
        <w:ind w:left="3600" w:hanging="360"/>
      </w:pPr>
      <w:rPr>
        <w:rFonts w:ascii="Arial" w:hAnsi="Arial" w:hint="default"/>
      </w:rPr>
    </w:lvl>
    <w:lvl w:ilvl="5" w:tplc="273ED2BE" w:tentative="1">
      <w:start w:val="1"/>
      <w:numFmt w:val="bullet"/>
      <w:lvlText w:val="•"/>
      <w:lvlJc w:val="left"/>
      <w:pPr>
        <w:tabs>
          <w:tab w:val="num" w:pos="4320"/>
        </w:tabs>
        <w:ind w:left="4320" w:hanging="360"/>
      </w:pPr>
      <w:rPr>
        <w:rFonts w:ascii="Arial" w:hAnsi="Arial" w:hint="default"/>
      </w:rPr>
    </w:lvl>
    <w:lvl w:ilvl="6" w:tplc="849247EE" w:tentative="1">
      <w:start w:val="1"/>
      <w:numFmt w:val="bullet"/>
      <w:lvlText w:val="•"/>
      <w:lvlJc w:val="left"/>
      <w:pPr>
        <w:tabs>
          <w:tab w:val="num" w:pos="5040"/>
        </w:tabs>
        <w:ind w:left="5040" w:hanging="360"/>
      </w:pPr>
      <w:rPr>
        <w:rFonts w:ascii="Arial" w:hAnsi="Arial" w:hint="default"/>
      </w:rPr>
    </w:lvl>
    <w:lvl w:ilvl="7" w:tplc="CE760666" w:tentative="1">
      <w:start w:val="1"/>
      <w:numFmt w:val="bullet"/>
      <w:lvlText w:val="•"/>
      <w:lvlJc w:val="left"/>
      <w:pPr>
        <w:tabs>
          <w:tab w:val="num" w:pos="5760"/>
        </w:tabs>
        <w:ind w:left="5760" w:hanging="360"/>
      </w:pPr>
      <w:rPr>
        <w:rFonts w:ascii="Arial" w:hAnsi="Arial" w:hint="default"/>
      </w:rPr>
    </w:lvl>
    <w:lvl w:ilvl="8" w:tplc="B846C54A" w:tentative="1">
      <w:start w:val="1"/>
      <w:numFmt w:val="bullet"/>
      <w:lvlText w:val="•"/>
      <w:lvlJc w:val="left"/>
      <w:pPr>
        <w:tabs>
          <w:tab w:val="num" w:pos="6480"/>
        </w:tabs>
        <w:ind w:left="6480" w:hanging="360"/>
      </w:pPr>
      <w:rPr>
        <w:rFonts w:ascii="Arial" w:hAnsi="Arial" w:hint="default"/>
      </w:rPr>
    </w:lvl>
  </w:abstractNum>
  <w:abstractNum w:abstractNumId="2">
    <w:nsid w:val="69036CA6"/>
    <w:multiLevelType w:val="hybridMultilevel"/>
    <w:tmpl w:val="8B2461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D72"/>
    <w:rsid w:val="00027C6B"/>
    <w:rsid w:val="00061D72"/>
    <w:rsid w:val="000B0F08"/>
    <w:rsid w:val="000E2603"/>
    <w:rsid w:val="001F2E3D"/>
    <w:rsid w:val="001F52F4"/>
    <w:rsid w:val="00271F3B"/>
    <w:rsid w:val="003A1B81"/>
    <w:rsid w:val="00472A02"/>
    <w:rsid w:val="00476527"/>
    <w:rsid w:val="00595D87"/>
    <w:rsid w:val="005F12F6"/>
    <w:rsid w:val="00607450"/>
    <w:rsid w:val="00620AAD"/>
    <w:rsid w:val="006352BF"/>
    <w:rsid w:val="00652680"/>
    <w:rsid w:val="00653397"/>
    <w:rsid w:val="006F51D2"/>
    <w:rsid w:val="00777D86"/>
    <w:rsid w:val="007F425D"/>
    <w:rsid w:val="0085460C"/>
    <w:rsid w:val="00953AC4"/>
    <w:rsid w:val="00A249E1"/>
    <w:rsid w:val="00A66812"/>
    <w:rsid w:val="00A772F2"/>
    <w:rsid w:val="00BE5393"/>
    <w:rsid w:val="00BF231F"/>
    <w:rsid w:val="00C432D5"/>
    <w:rsid w:val="00C71677"/>
    <w:rsid w:val="00C774AA"/>
    <w:rsid w:val="00C80CBF"/>
    <w:rsid w:val="00CE52BD"/>
    <w:rsid w:val="00CF2945"/>
    <w:rsid w:val="00D35BAD"/>
    <w:rsid w:val="00D66EB9"/>
    <w:rsid w:val="00E24029"/>
    <w:rsid w:val="00EC7F18"/>
    <w:rsid w:val="00ED353C"/>
    <w:rsid w:val="00FF238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0AAD"/>
    <w:pPr>
      <w:spacing w:after="0" w:line="240" w:lineRule="auto"/>
      <w:ind w:left="720"/>
      <w:contextualSpacing/>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0AAD"/>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604244">
      <w:bodyDiv w:val="1"/>
      <w:marLeft w:val="0"/>
      <w:marRight w:val="0"/>
      <w:marTop w:val="0"/>
      <w:marBottom w:val="0"/>
      <w:divBdr>
        <w:top w:val="none" w:sz="0" w:space="0" w:color="auto"/>
        <w:left w:val="none" w:sz="0" w:space="0" w:color="auto"/>
        <w:bottom w:val="none" w:sz="0" w:space="0" w:color="auto"/>
        <w:right w:val="none" w:sz="0" w:space="0" w:color="auto"/>
      </w:divBdr>
      <w:divsChild>
        <w:div w:id="313486228">
          <w:marLeft w:val="547"/>
          <w:marRight w:val="0"/>
          <w:marTop w:val="53"/>
          <w:marBottom w:val="0"/>
          <w:divBdr>
            <w:top w:val="none" w:sz="0" w:space="0" w:color="auto"/>
            <w:left w:val="none" w:sz="0" w:space="0" w:color="auto"/>
            <w:bottom w:val="none" w:sz="0" w:space="0" w:color="auto"/>
            <w:right w:val="none" w:sz="0" w:space="0" w:color="auto"/>
          </w:divBdr>
        </w:div>
        <w:div w:id="1218661237">
          <w:marLeft w:val="547"/>
          <w:marRight w:val="0"/>
          <w:marTop w:val="53"/>
          <w:marBottom w:val="0"/>
          <w:divBdr>
            <w:top w:val="none" w:sz="0" w:space="0" w:color="auto"/>
            <w:left w:val="none" w:sz="0" w:space="0" w:color="auto"/>
            <w:bottom w:val="none" w:sz="0" w:space="0" w:color="auto"/>
            <w:right w:val="none" w:sz="0" w:space="0" w:color="auto"/>
          </w:divBdr>
        </w:div>
        <w:div w:id="2144275548">
          <w:marLeft w:val="547"/>
          <w:marRight w:val="0"/>
          <w:marTop w:val="53"/>
          <w:marBottom w:val="0"/>
          <w:divBdr>
            <w:top w:val="none" w:sz="0" w:space="0" w:color="auto"/>
            <w:left w:val="none" w:sz="0" w:space="0" w:color="auto"/>
            <w:bottom w:val="none" w:sz="0" w:space="0" w:color="auto"/>
            <w:right w:val="none" w:sz="0" w:space="0" w:color="auto"/>
          </w:divBdr>
        </w:div>
        <w:div w:id="1529562232">
          <w:marLeft w:val="547"/>
          <w:marRight w:val="0"/>
          <w:marTop w:val="53"/>
          <w:marBottom w:val="0"/>
          <w:divBdr>
            <w:top w:val="none" w:sz="0" w:space="0" w:color="auto"/>
            <w:left w:val="none" w:sz="0" w:space="0" w:color="auto"/>
            <w:bottom w:val="none" w:sz="0" w:space="0" w:color="auto"/>
            <w:right w:val="none" w:sz="0" w:space="0" w:color="auto"/>
          </w:divBdr>
        </w:div>
        <w:div w:id="1077901105">
          <w:marLeft w:val="547"/>
          <w:marRight w:val="0"/>
          <w:marTop w:val="53"/>
          <w:marBottom w:val="0"/>
          <w:divBdr>
            <w:top w:val="none" w:sz="0" w:space="0" w:color="auto"/>
            <w:left w:val="none" w:sz="0" w:space="0" w:color="auto"/>
            <w:bottom w:val="none" w:sz="0" w:space="0" w:color="auto"/>
            <w:right w:val="none" w:sz="0" w:space="0" w:color="auto"/>
          </w:divBdr>
        </w:div>
        <w:div w:id="861669612">
          <w:marLeft w:val="547"/>
          <w:marRight w:val="0"/>
          <w:marTop w:val="53"/>
          <w:marBottom w:val="0"/>
          <w:divBdr>
            <w:top w:val="none" w:sz="0" w:space="0" w:color="auto"/>
            <w:left w:val="none" w:sz="0" w:space="0" w:color="auto"/>
            <w:bottom w:val="none" w:sz="0" w:space="0" w:color="auto"/>
            <w:right w:val="none" w:sz="0" w:space="0" w:color="auto"/>
          </w:divBdr>
        </w:div>
        <w:div w:id="1228806521">
          <w:marLeft w:val="547"/>
          <w:marRight w:val="0"/>
          <w:marTop w:val="53"/>
          <w:marBottom w:val="0"/>
          <w:divBdr>
            <w:top w:val="none" w:sz="0" w:space="0" w:color="auto"/>
            <w:left w:val="none" w:sz="0" w:space="0" w:color="auto"/>
            <w:bottom w:val="none" w:sz="0" w:space="0" w:color="auto"/>
            <w:right w:val="none" w:sz="0" w:space="0" w:color="auto"/>
          </w:divBdr>
        </w:div>
        <w:div w:id="1002007499">
          <w:marLeft w:val="547"/>
          <w:marRight w:val="0"/>
          <w:marTop w:val="53"/>
          <w:marBottom w:val="0"/>
          <w:divBdr>
            <w:top w:val="none" w:sz="0" w:space="0" w:color="auto"/>
            <w:left w:val="none" w:sz="0" w:space="0" w:color="auto"/>
            <w:bottom w:val="none" w:sz="0" w:space="0" w:color="auto"/>
            <w:right w:val="none" w:sz="0" w:space="0" w:color="auto"/>
          </w:divBdr>
        </w:div>
        <w:div w:id="1391270111">
          <w:marLeft w:val="547"/>
          <w:marRight w:val="0"/>
          <w:marTop w:val="53"/>
          <w:marBottom w:val="0"/>
          <w:divBdr>
            <w:top w:val="none" w:sz="0" w:space="0" w:color="auto"/>
            <w:left w:val="none" w:sz="0" w:space="0" w:color="auto"/>
            <w:bottom w:val="none" w:sz="0" w:space="0" w:color="auto"/>
            <w:right w:val="none" w:sz="0" w:space="0" w:color="auto"/>
          </w:divBdr>
        </w:div>
        <w:div w:id="449977111">
          <w:marLeft w:val="547"/>
          <w:marRight w:val="0"/>
          <w:marTop w:val="53"/>
          <w:marBottom w:val="0"/>
          <w:divBdr>
            <w:top w:val="none" w:sz="0" w:space="0" w:color="auto"/>
            <w:left w:val="none" w:sz="0" w:space="0" w:color="auto"/>
            <w:bottom w:val="none" w:sz="0" w:space="0" w:color="auto"/>
            <w:right w:val="none" w:sz="0" w:space="0" w:color="auto"/>
          </w:divBdr>
        </w:div>
        <w:div w:id="2005862598">
          <w:marLeft w:val="547"/>
          <w:marRight w:val="0"/>
          <w:marTop w:val="53"/>
          <w:marBottom w:val="0"/>
          <w:divBdr>
            <w:top w:val="none" w:sz="0" w:space="0" w:color="auto"/>
            <w:left w:val="none" w:sz="0" w:space="0" w:color="auto"/>
            <w:bottom w:val="none" w:sz="0" w:space="0" w:color="auto"/>
            <w:right w:val="none" w:sz="0" w:space="0" w:color="auto"/>
          </w:divBdr>
        </w:div>
        <w:div w:id="584386031">
          <w:marLeft w:val="547"/>
          <w:marRight w:val="0"/>
          <w:marTop w:val="53"/>
          <w:marBottom w:val="0"/>
          <w:divBdr>
            <w:top w:val="none" w:sz="0" w:space="0" w:color="auto"/>
            <w:left w:val="none" w:sz="0" w:space="0" w:color="auto"/>
            <w:bottom w:val="none" w:sz="0" w:space="0" w:color="auto"/>
            <w:right w:val="none" w:sz="0" w:space="0" w:color="auto"/>
          </w:divBdr>
        </w:div>
        <w:div w:id="1251814324">
          <w:marLeft w:val="547"/>
          <w:marRight w:val="0"/>
          <w:marTop w:val="53"/>
          <w:marBottom w:val="0"/>
          <w:divBdr>
            <w:top w:val="none" w:sz="0" w:space="0" w:color="auto"/>
            <w:left w:val="none" w:sz="0" w:space="0" w:color="auto"/>
            <w:bottom w:val="none" w:sz="0" w:space="0" w:color="auto"/>
            <w:right w:val="none" w:sz="0" w:space="0" w:color="auto"/>
          </w:divBdr>
        </w:div>
        <w:div w:id="1164275445">
          <w:marLeft w:val="547"/>
          <w:marRight w:val="0"/>
          <w:marTop w:val="53"/>
          <w:marBottom w:val="0"/>
          <w:divBdr>
            <w:top w:val="none" w:sz="0" w:space="0" w:color="auto"/>
            <w:left w:val="none" w:sz="0" w:space="0" w:color="auto"/>
            <w:bottom w:val="none" w:sz="0" w:space="0" w:color="auto"/>
            <w:right w:val="none" w:sz="0" w:space="0" w:color="auto"/>
          </w:divBdr>
        </w:div>
        <w:div w:id="951666704">
          <w:marLeft w:val="547"/>
          <w:marRight w:val="0"/>
          <w:marTop w:val="53"/>
          <w:marBottom w:val="0"/>
          <w:divBdr>
            <w:top w:val="none" w:sz="0" w:space="0" w:color="auto"/>
            <w:left w:val="none" w:sz="0" w:space="0" w:color="auto"/>
            <w:bottom w:val="none" w:sz="0" w:space="0" w:color="auto"/>
            <w:right w:val="none" w:sz="0" w:space="0" w:color="auto"/>
          </w:divBdr>
        </w:div>
        <w:div w:id="1407266880">
          <w:marLeft w:val="547"/>
          <w:marRight w:val="0"/>
          <w:marTop w:val="53"/>
          <w:marBottom w:val="0"/>
          <w:divBdr>
            <w:top w:val="none" w:sz="0" w:space="0" w:color="auto"/>
            <w:left w:val="none" w:sz="0" w:space="0" w:color="auto"/>
            <w:bottom w:val="none" w:sz="0" w:space="0" w:color="auto"/>
            <w:right w:val="none" w:sz="0" w:space="0" w:color="auto"/>
          </w:divBdr>
        </w:div>
        <w:div w:id="2101218997">
          <w:marLeft w:val="547"/>
          <w:marRight w:val="0"/>
          <w:marTop w:val="53"/>
          <w:marBottom w:val="0"/>
          <w:divBdr>
            <w:top w:val="none" w:sz="0" w:space="0" w:color="auto"/>
            <w:left w:val="none" w:sz="0" w:space="0" w:color="auto"/>
            <w:bottom w:val="none" w:sz="0" w:space="0" w:color="auto"/>
            <w:right w:val="none" w:sz="0" w:space="0" w:color="auto"/>
          </w:divBdr>
        </w:div>
        <w:div w:id="303125703">
          <w:marLeft w:val="547"/>
          <w:marRight w:val="0"/>
          <w:marTop w:val="53"/>
          <w:marBottom w:val="0"/>
          <w:divBdr>
            <w:top w:val="none" w:sz="0" w:space="0" w:color="auto"/>
            <w:left w:val="none" w:sz="0" w:space="0" w:color="auto"/>
            <w:bottom w:val="none" w:sz="0" w:space="0" w:color="auto"/>
            <w:right w:val="none" w:sz="0" w:space="0" w:color="auto"/>
          </w:divBdr>
        </w:div>
      </w:divsChild>
    </w:div>
    <w:div w:id="1862086954">
      <w:bodyDiv w:val="1"/>
      <w:marLeft w:val="0"/>
      <w:marRight w:val="0"/>
      <w:marTop w:val="0"/>
      <w:marBottom w:val="0"/>
      <w:divBdr>
        <w:top w:val="none" w:sz="0" w:space="0" w:color="auto"/>
        <w:left w:val="none" w:sz="0" w:space="0" w:color="auto"/>
        <w:bottom w:val="none" w:sz="0" w:space="0" w:color="auto"/>
        <w:right w:val="none" w:sz="0" w:space="0" w:color="auto"/>
      </w:divBdr>
    </w:div>
    <w:div w:id="1958564559">
      <w:bodyDiv w:val="1"/>
      <w:marLeft w:val="0"/>
      <w:marRight w:val="0"/>
      <w:marTop w:val="0"/>
      <w:marBottom w:val="0"/>
      <w:divBdr>
        <w:top w:val="none" w:sz="0" w:space="0" w:color="auto"/>
        <w:left w:val="none" w:sz="0" w:space="0" w:color="auto"/>
        <w:bottom w:val="none" w:sz="0" w:space="0" w:color="auto"/>
        <w:right w:val="none" w:sz="0" w:space="0" w:color="auto"/>
      </w:divBdr>
    </w:div>
    <w:div w:id="2032291811">
      <w:bodyDiv w:val="1"/>
      <w:marLeft w:val="0"/>
      <w:marRight w:val="0"/>
      <w:marTop w:val="0"/>
      <w:marBottom w:val="0"/>
      <w:divBdr>
        <w:top w:val="none" w:sz="0" w:space="0" w:color="auto"/>
        <w:left w:val="none" w:sz="0" w:space="0" w:color="auto"/>
        <w:bottom w:val="none" w:sz="0" w:space="0" w:color="auto"/>
        <w:right w:val="none" w:sz="0" w:space="0" w:color="auto"/>
      </w:divBdr>
      <w:divsChild>
        <w:div w:id="32507348">
          <w:marLeft w:val="547"/>
          <w:marRight w:val="0"/>
          <w:marTop w:val="77"/>
          <w:marBottom w:val="0"/>
          <w:divBdr>
            <w:top w:val="none" w:sz="0" w:space="0" w:color="auto"/>
            <w:left w:val="none" w:sz="0" w:space="0" w:color="auto"/>
            <w:bottom w:val="none" w:sz="0" w:space="0" w:color="auto"/>
            <w:right w:val="none" w:sz="0" w:space="0" w:color="auto"/>
          </w:divBdr>
        </w:div>
        <w:div w:id="701366876">
          <w:marLeft w:val="547"/>
          <w:marRight w:val="0"/>
          <w:marTop w:val="77"/>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1140</Words>
  <Characters>6498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Mutaz</cp:lastModifiedBy>
  <cp:revision>2</cp:revision>
  <dcterms:created xsi:type="dcterms:W3CDTF">2019-05-24T21:57:00Z</dcterms:created>
  <dcterms:modified xsi:type="dcterms:W3CDTF">2019-05-24T21:57:00Z</dcterms:modified>
</cp:coreProperties>
</file>