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D9344A" w:rsidP="00494130">
      <w:pPr>
        <w:pStyle w:val="1"/>
        <w:spacing w:before="170"/>
        <w:ind w:left="0"/>
      </w:pPr>
      <w:r w:rsidRPr="00D9344A">
        <w:rPr>
          <w:color w:val="337AB7"/>
        </w:rPr>
        <w:t>Effects of green tea extract catechin on the treatment of diastolic dysfunction in pediatric cardiomyopathy patients</w:t>
      </w:r>
    </w:p>
    <w:p w:rsidR="00D9344A" w:rsidRPr="00D9344A" w:rsidRDefault="00D9344A" w:rsidP="00D9344A">
      <w:pPr>
        <w:pStyle w:val="a3"/>
        <w:rPr>
          <w:rFonts w:ascii="Arial"/>
        </w:rPr>
      </w:pPr>
      <w:r w:rsidRPr="00D9344A">
        <w:rPr>
          <w:rFonts w:ascii="Arial"/>
        </w:rPr>
        <w:t xml:space="preserve">Junjun Quan </w:t>
      </w:r>
      <w:r w:rsidRPr="00B8316D">
        <w:rPr>
          <w:rFonts w:ascii="Arial"/>
          <w:vertAlign w:val="superscript"/>
        </w:rPr>
        <w:t>1,2,3,4</w:t>
      </w:r>
      <w:r w:rsidRPr="00D9344A">
        <w:rPr>
          <w:rFonts w:ascii="Arial"/>
        </w:rPr>
        <w:t xml:space="preserve">, Zhongli Jia </w:t>
      </w:r>
      <w:r w:rsidRPr="00B8316D">
        <w:rPr>
          <w:rFonts w:ascii="Arial"/>
          <w:vertAlign w:val="superscript"/>
        </w:rPr>
        <w:t>1,2,3,4</w:t>
      </w:r>
      <w:r w:rsidRPr="00D9344A">
        <w:rPr>
          <w:rFonts w:ascii="Arial"/>
        </w:rPr>
        <w:t xml:space="preserve">, Tiewei Lv </w:t>
      </w:r>
      <w:r w:rsidRPr="00B8316D">
        <w:rPr>
          <w:rFonts w:ascii="Arial"/>
          <w:vertAlign w:val="superscript"/>
        </w:rPr>
        <w:t>1,2,3,4</w:t>
      </w:r>
      <w:r w:rsidRPr="00D9344A">
        <w:rPr>
          <w:rFonts w:ascii="Arial"/>
        </w:rPr>
        <w:t>, Lei Zhang</w:t>
      </w:r>
      <w:r w:rsidRPr="00B8316D">
        <w:rPr>
          <w:rFonts w:ascii="Arial"/>
          <w:vertAlign w:val="superscript"/>
        </w:rPr>
        <w:t xml:space="preserve"> 1,2,3,4</w:t>
      </w:r>
      <w:r w:rsidRPr="00D9344A">
        <w:rPr>
          <w:rFonts w:ascii="Arial"/>
        </w:rPr>
        <w:t xml:space="preserve">, Lingjuan Liu </w:t>
      </w:r>
      <w:r w:rsidRPr="00B8316D">
        <w:rPr>
          <w:rFonts w:ascii="Arial"/>
          <w:vertAlign w:val="superscript"/>
        </w:rPr>
        <w:t>1,2,3,4,</w:t>
      </w:r>
      <w:r w:rsidRPr="00D9344A">
        <w:rPr>
          <w:rFonts w:ascii="Arial"/>
        </w:rPr>
        <w:t xml:space="preserve"> Jing Zhu </w:t>
      </w:r>
      <w:r w:rsidRPr="00B8316D">
        <w:rPr>
          <w:rFonts w:ascii="Arial"/>
          <w:vertAlign w:val="superscript"/>
        </w:rPr>
        <w:t>2,3,4</w:t>
      </w:r>
      <w:r w:rsidRPr="00D9344A">
        <w:rPr>
          <w:rFonts w:ascii="Arial"/>
        </w:rPr>
        <w:t>, Ira J. Gelb</w:t>
      </w:r>
      <w:r w:rsidRPr="00B8316D">
        <w:rPr>
          <w:rFonts w:ascii="Arial"/>
          <w:vertAlign w:val="superscript"/>
        </w:rPr>
        <w:t xml:space="preserve"> 5</w:t>
      </w:r>
      <w:r w:rsidRPr="00D9344A">
        <w:rPr>
          <w:rFonts w:ascii="Arial"/>
        </w:rPr>
        <w:t xml:space="preserve">, Xupei Huang </w:t>
      </w:r>
      <w:r w:rsidRPr="00C5038E">
        <w:rPr>
          <w:rFonts w:ascii="Arial"/>
          <w:vertAlign w:val="superscript"/>
        </w:rPr>
        <w:t>5</w:t>
      </w:r>
      <w:r w:rsidRPr="00D9344A">
        <w:rPr>
          <w:rFonts w:ascii="Arial"/>
        </w:rPr>
        <w:t>, Jie Tian</w:t>
      </w:r>
      <w:r w:rsidRPr="00C5038E">
        <w:rPr>
          <w:rFonts w:ascii="Arial"/>
          <w:vertAlign w:val="superscript"/>
        </w:rPr>
        <w:t>1,2,3,4</w:t>
      </w:r>
      <w:r w:rsidRPr="00D9344A">
        <w:rPr>
          <w:rFonts w:ascii="Arial"/>
        </w:rPr>
        <w:t xml:space="preserve"> </w:t>
      </w:r>
    </w:p>
    <w:p w:rsidR="00D9344A" w:rsidRPr="00D9344A" w:rsidRDefault="00D9344A" w:rsidP="00D9344A">
      <w:pPr>
        <w:pStyle w:val="a3"/>
        <w:rPr>
          <w:rFonts w:ascii="Arial"/>
        </w:rPr>
      </w:pPr>
      <w:r w:rsidRPr="00D9344A">
        <w:rPr>
          <w:rFonts w:ascii="Arial"/>
        </w:rPr>
        <w:t>1.Department of Cardiology, Children's Hospital of Chongqing Medical University, Chongqing, China;</w:t>
      </w:r>
    </w:p>
    <w:p w:rsidR="00D9344A" w:rsidRPr="00D9344A" w:rsidRDefault="00D9344A" w:rsidP="00D9344A">
      <w:pPr>
        <w:pStyle w:val="a3"/>
        <w:rPr>
          <w:rFonts w:ascii="Arial"/>
        </w:rPr>
      </w:pPr>
      <w:r w:rsidRPr="00D9344A">
        <w:rPr>
          <w:rFonts w:ascii="Arial"/>
        </w:rPr>
        <w:t>2.Ministry of Education Key Laboratory of Child Development and Disorders, Chongqing, China;</w:t>
      </w:r>
    </w:p>
    <w:p w:rsidR="00D9344A" w:rsidRPr="00D9344A" w:rsidRDefault="00D9344A" w:rsidP="00D9344A">
      <w:pPr>
        <w:pStyle w:val="a3"/>
        <w:rPr>
          <w:rFonts w:ascii="Arial"/>
        </w:rPr>
      </w:pPr>
      <w:r w:rsidRPr="00D9344A">
        <w:rPr>
          <w:rFonts w:ascii="Arial"/>
        </w:rPr>
        <w:t>3.China International Science and Technology Cooperation Base of Child Development and Critical Disorders, Chongqing, China;</w:t>
      </w:r>
    </w:p>
    <w:p w:rsidR="00D9344A" w:rsidRPr="00D9344A" w:rsidRDefault="00D9344A" w:rsidP="00D9344A">
      <w:pPr>
        <w:pStyle w:val="a3"/>
        <w:rPr>
          <w:rFonts w:ascii="Arial"/>
        </w:rPr>
      </w:pPr>
      <w:r w:rsidRPr="00D9344A">
        <w:rPr>
          <w:rFonts w:ascii="Arial"/>
        </w:rPr>
        <w:t>4.Chongqing Key Laboratory of Pediatrics, Chongqing, China;</w:t>
      </w:r>
    </w:p>
    <w:p w:rsidR="00AE3E37" w:rsidRDefault="00D9344A" w:rsidP="00D9344A">
      <w:pPr>
        <w:pStyle w:val="a3"/>
        <w:rPr>
          <w:rFonts w:ascii="Arial"/>
          <w:sz w:val="20"/>
        </w:rPr>
      </w:pPr>
      <w:r w:rsidRPr="00D9344A">
        <w:rPr>
          <w:rFonts w:ascii="Arial"/>
        </w:rPr>
        <w:t>5.Charlie E. Schmidt College of Medicine, Florida Atlantic University, Boca Raton, Florida, USA</w:t>
      </w:r>
    </w:p>
    <w:p w:rsidR="00AE3E37" w:rsidRDefault="00C5038E">
      <w:pPr>
        <w:pStyle w:val="a3"/>
        <w:spacing w:before="3"/>
        <w:rPr>
          <w:rFonts w:ascii="Arial"/>
          <w:sz w:val="21"/>
        </w:rPr>
      </w:pPr>
      <w:r w:rsidRPr="00F37C49">
        <w:rPr>
          <w:rFonts w:ascii="Times New Roman" w:hAnsi="Times New Roman" w:cs="Times New Roman"/>
          <w:noProof/>
          <w:color w:val="000000" w:themeColor="text1"/>
          <w:sz w:val="24"/>
          <w:szCs w:val="24"/>
        </w:rPr>
        <w:drawing>
          <wp:anchor distT="0" distB="0" distL="114300" distR="114300" simplePos="0" relativeHeight="251661824" behindDoc="0" locked="0" layoutInCell="1" allowOverlap="1" wp14:anchorId="0B944D4E" wp14:editId="53665458">
            <wp:simplePos x="0" y="0"/>
            <wp:positionH relativeFrom="column">
              <wp:posOffset>3658235</wp:posOffset>
            </wp:positionH>
            <wp:positionV relativeFrom="paragraph">
              <wp:posOffset>417830</wp:posOffset>
            </wp:positionV>
            <wp:extent cx="2574290" cy="2992755"/>
            <wp:effectExtent l="0" t="0" r="0" b="0"/>
            <wp:wrapTopAndBottom/>
            <wp:docPr id="3" name="图片 3" descr="D:\全珺珺文章\我的文章\儿茶素随访\5\CARDIOLOGY\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全珺珺文章\我的文章\儿茶素随访\5\CARDIOLOGY\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4290" cy="2992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D9344A" w:rsidRPr="00D9344A" w:rsidRDefault="00D9344A" w:rsidP="00D9344A">
      <w:pPr>
        <w:pStyle w:val="3"/>
        <w:spacing w:before="74"/>
        <w:rPr>
          <w:rFonts w:ascii="Tw Cen MT" w:eastAsia="Tw Cen MT" w:hAnsi="Tw Cen MT" w:cs="Tw Cen MT"/>
          <w:b w:val="0"/>
          <w:bCs w:val="0"/>
          <w:sz w:val="18"/>
          <w:szCs w:val="18"/>
        </w:rPr>
      </w:pPr>
      <w:r w:rsidRPr="00D9344A">
        <w:rPr>
          <w:rFonts w:ascii="Tw Cen MT" w:eastAsia="Tw Cen MT" w:hAnsi="Tw Cen MT" w:cs="Tw Cen MT"/>
          <w:b w:val="0"/>
          <w:bCs w:val="0"/>
          <w:sz w:val="18"/>
          <w:szCs w:val="18"/>
        </w:rPr>
        <w:t xml:space="preserve">Objectives: To assess the effects of green tea extract catechin on cardiac function and other clinical features in pediatric patients with cardiomyopathies.  </w:t>
      </w:r>
    </w:p>
    <w:p w:rsidR="00D9344A" w:rsidRPr="00D9344A" w:rsidRDefault="00D9344A" w:rsidP="00D9344A">
      <w:pPr>
        <w:pStyle w:val="3"/>
        <w:spacing w:before="74"/>
        <w:rPr>
          <w:rFonts w:ascii="Tw Cen MT" w:eastAsia="Tw Cen MT" w:hAnsi="Tw Cen MT" w:cs="Tw Cen MT"/>
          <w:b w:val="0"/>
          <w:bCs w:val="0"/>
          <w:sz w:val="18"/>
          <w:szCs w:val="18"/>
        </w:rPr>
      </w:pPr>
      <w:r w:rsidRPr="00D9344A">
        <w:rPr>
          <w:rFonts w:ascii="Tw Cen MT" w:eastAsia="Tw Cen MT" w:hAnsi="Tw Cen MT" w:cs="Tw Cen MT"/>
          <w:b w:val="0"/>
          <w:bCs w:val="0"/>
          <w:sz w:val="18"/>
          <w:szCs w:val="18"/>
        </w:rPr>
        <w:t xml:space="preserve">Methods: 12 pediatric cardiomyopathy patients with diastolic dysfunction were enrolled for the study. Echocardiography, ECG, and laboratory tests were performed before and after the catechin administration for 12 months. Next Generation Sequencing was conducted to find out the potential causative gene variants in all patients.  </w:t>
      </w:r>
    </w:p>
    <w:p w:rsidR="00D9344A" w:rsidRPr="00D9344A" w:rsidRDefault="00D9344A" w:rsidP="00D9344A">
      <w:pPr>
        <w:pStyle w:val="3"/>
        <w:spacing w:before="74"/>
        <w:rPr>
          <w:rFonts w:ascii="Tw Cen MT" w:eastAsia="Tw Cen MT" w:hAnsi="Tw Cen MT" w:cs="Tw Cen MT"/>
          <w:b w:val="0"/>
          <w:bCs w:val="0"/>
          <w:sz w:val="18"/>
          <w:szCs w:val="18"/>
        </w:rPr>
      </w:pPr>
      <w:r w:rsidRPr="00D9344A">
        <w:rPr>
          <w:rFonts w:ascii="Tw Cen MT" w:eastAsia="Tw Cen MT" w:hAnsi="Tw Cen MT" w:cs="Tw Cen MT"/>
          <w:b w:val="0"/>
          <w:bCs w:val="0"/>
          <w:sz w:val="18"/>
          <w:szCs w:val="18"/>
        </w:rPr>
        <w:t>Results: A significant decrease of isovolumetric relaxation time (115±46 vs 100±42 ms, P=0.047 at 6 months; 115±46 vs 94±30 ms, P=0.033 at 12 months), an increase of left ventricle end diastolic volume (40±28 vs 53±28 ml, P=0.028 at 6 months; 40±28 vs 48±33 ml, P=0.011 at 12 months) and stroke volume (25±16 vs 32±17 ml, P=0.022 at 6 months; 25±16 vs 30±17 ml, P=0.021 at 12 months) were observed with echocardiography in these patients 6-month after the treatment with catechin. Ejection fraction, left ventricular wall thickness, biatrial dimension remained unchanged. No significant side effects were observed in the patients tested.</w:t>
      </w:r>
    </w:p>
    <w:p w:rsidR="00AE3E37" w:rsidRDefault="00D9344A" w:rsidP="00D9344A">
      <w:pPr>
        <w:pStyle w:val="3"/>
        <w:spacing w:before="74"/>
      </w:pPr>
      <w:r w:rsidRPr="00D9344A">
        <w:rPr>
          <w:rFonts w:ascii="Tw Cen MT" w:eastAsia="Tw Cen MT" w:hAnsi="Tw Cen MT" w:cs="Tw Cen MT"/>
          <w:b w:val="0"/>
          <w:bCs w:val="0"/>
          <w:sz w:val="18"/>
          <w:szCs w:val="18"/>
        </w:rPr>
        <w:t>Conclusions: This study indicates that Ca2+ desensitizing green tea extract catechin, is helpful in correcting the impaired relaxation in pediatric cardiomyopathy patients with diastolic dysfunction.</w:t>
      </w:r>
      <w:r w:rsidR="00A9710C">
        <w:rPr>
          <w:b w:val="0"/>
        </w:rPr>
        <w:br w:type="column"/>
      </w:r>
      <w:r w:rsidR="00A9710C">
        <w:rPr>
          <w:color w:val="BF5A14"/>
        </w:rPr>
        <w:t>Image</w:t>
      </w:r>
    </w:p>
    <w:p w:rsidR="00AE3E37" w:rsidRPr="00C5038E" w:rsidRDefault="00C5038E" w:rsidP="00C5038E">
      <w:pPr>
        <w:pStyle w:val="3"/>
        <w:spacing w:before="74"/>
        <w:rPr>
          <w:rFonts w:ascii="Tw Cen MT" w:eastAsia="Tw Cen MT" w:hAnsi="Tw Cen MT" w:cs="Tw Cen MT"/>
          <w:b w:val="0"/>
          <w:bCs w:val="0"/>
          <w:sz w:val="18"/>
          <w:szCs w:val="18"/>
        </w:rPr>
      </w:pPr>
      <w:r w:rsidRPr="00C5038E">
        <w:rPr>
          <w:rFonts w:ascii="Tw Cen MT" w:eastAsia="Tw Cen MT" w:hAnsi="Tw Cen MT" w:cs="Tw Cen MT"/>
          <w:b w:val="0"/>
          <w:bCs w:val="0"/>
          <w:sz w:val="18"/>
          <w:szCs w:val="18"/>
        </w:rPr>
        <w:t>Figure 1. Effects of Ca2+ desensitizing green tea extract catechin on cardiac function in cardiomyopathy patients with diastolic dysfunction. Various cardiac functions have been measured using echocardiography in cardiomyopathy patients before (t0) and after (t6 or t12) catechin treatment: (A) left ventricular end systolic dimension (LVESD); (B) left ventricular end diastolic dimension ( LVEDD); (C) left ventricular end systolic volume (LVESV); (D) left ventricular end diastolic volume (LVEDV); (E) stroke volume ( SV); (F) ejection fraction (EF); (G) mitral Doppler E/A wave ratio (E/A ratio); (H) isovolumetric relaxation time (IVRT). t0, before the administration of catechin; t6, 6 months after the administration of catechin; t12, 12 months after administration of catechin. * P &lt; 0.05, t6 vs t0; ** P &lt; 0.05, t12 vs t0.</w:t>
      </w:r>
    </w:p>
    <w:p w:rsidR="005973B9" w:rsidRDefault="005973B9" w:rsidP="005973B9">
      <w:pPr>
        <w:spacing w:line="204" w:lineRule="exact"/>
        <w:rPr>
          <w:rFonts w:ascii="Arial"/>
          <w:b/>
          <w:sz w:val="20"/>
        </w:rPr>
      </w:pPr>
      <w:r>
        <w:rPr>
          <w:rFonts w:ascii="Arial"/>
          <w:b/>
          <w:color w:val="BF5A14"/>
          <w:sz w:val="20"/>
        </w:rPr>
        <w:br/>
        <w:t>Recent Publications (minimum 5)</w:t>
      </w:r>
    </w:p>
    <w:p w:rsidR="001F09B7" w:rsidRPr="001F09B7" w:rsidRDefault="001F09B7" w:rsidP="001F09B7">
      <w:pPr>
        <w:pStyle w:val="a5"/>
        <w:numPr>
          <w:ilvl w:val="0"/>
          <w:numId w:val="3"/>
        </w:numPr>
        <w:tabs>
          <w:tab w:val="left" w:pos="384"/>
        </w:tabs>
        <w:spacing w:before="103" w:line="216" w:lineRule="exact"/>
        <w:ind w:right="138" w:hanging="283"/>
        <w:rPr>
          <w:sz w:val="18"/>
          <w:szCs w:val="18"/>
        </w:rPr>
      </w:pPr>
      <w:r w:rsidRPr="001F09B7">
        <w:rPr>
          <w:sz w:val="18"/>
          <w:szCs w:val="18"/>
        </w:rPr>
        <w:t>Liu L, Zhao W, Liu J, Gan Y, Liu L, Tian J</w:t>
      </w:r>
      <w:r w:rsidRPr="001F09B7">
        <w:rPr>
          <w:rFonts w:hint="eastAsia"/>
          <w:sz w:val="18"/>
          <w:szCs w:val="18"/>
        </w:rPr>
        <w:t>(</w:t>
      </w:r>
      <w:r w:rsidRPr="001F09B7">
        <w:rPr>
          <w:sz w:val="18"/>
          <w:szCs w:val="18"/>
        </w:rPr>
        <w:t xml:space="preserve">2018) </w:t>
      </w:r>
      <w:r w:rsidRPr="001F09B7">
        <w:rPr>
          <w:sz w:val="18"/>
          <w:szCs w:val="18"/>
        </w:rPr>
        <w:t>Epigallocatechin-3 gallate prevents pressure overload-induced heart failure by up-regulating SERCA2a via histone acetylation modification in mice.</w:t>
      </w:r>
      <w:r w:rsidRPr="001F09B7">
        <w:rPr>
          <w:sz w:val="18"/>
          <w:szCs w:val="18"/>
        </w:rPr>
        <w:t xml:space="preserve"> </w:t>
      </w:r>
      <w:hyperlink r:id="rId10" w:tooltip="PloS one." w:history="1">
        <w:r w:rsidRPr="001F09B7">
          <w:rPr>
            <w:sz w:val="18"/>
            <w:szCs w:val="18"/>
          </w:rPr>
          <w:t>PLoS One.</w:t>
        </w:r>
      </w:hyperlink>
      <w:r w:rsidRPr="001F09B7">
        <w:rPr>
          <w:sz w:val="18"/>
          <w:szCs w:val="18"/>
        </w:rPr>
        <w:t xml:space="preserve"> 13:e0205123</w:t>
      </w:r>
      <w:r w:rsidRPr="001F09B7">
        <w:rPr>
          <w:sz w:val="18"/>
          <w:szCs w:val="18"/>
        </w:rPr>
        <w:t>.</w:t>
      </w:r>
    </w:p>
    <w:p w:rsidR="001F09B7" w:rsidRPr="001F09B7" w:rsidRDefault="001F09B7" w:rsidP="001F09B7">
      <w:pPr>
        <w:pStyle w:val="a5"/>
        <w:numPr>
          <w:ilvl w:val="0"/>
          <w:numId w:val="3"/>
        </w:numPr>
        <w:tabs>
          <w:tab w:val="left" w:pos="384"/>
        </w:tabs>
        <w:spacing w:before="103" w:line="216" w:lineRule="exact"/>
        <w:ind w:right="138" w:hanging="283"/>
        <w:rPr>
          <w:sz w:val="18"/>
          <w:szCs w:val="18"/>
        </w:rPr>
      </w:pPr>
      <w:r w:rsidRPr="001F09B7">
        <w:rPr>
          <w:sz w:val="18"/>
          <w:szCs w:val="18"/>
        </w:rPr>
        <w:t>Wu X, Pan B, Liu L, Zhao W, Zhu J, Huang X, Tian J</w:t>
      </w:r>
      <w:r w:rsidRPr="001F09B7">
        <w:rPr>
          <w:sz w:val="18"/>
          <w:szCs w:val="18"/>
        </w:rPr>
        <w:t xml:space="preserve"> (2018) </w:t>
      </w:r>
      <w:r w:rsidRPr="001F09B7">
        <w:rPr>
          <w:sz w:val="18"/>
          <w:szCs w:val="18"/>
        </w:rPr>
        <w:t>In utero exposure to PM2.5 during gestation caused adult cardiac hypertrophy through histone acetylation modification.</w:t>
      </w:r>
      <w:r w:rsidRPr="001F09B7">
        <w:rPr>
          <w:sz w:val="18"/>
          <w:szCs w:val="18"/>
        </w:rPr>
        <w:t xml:space="preserve"> </w:t>
      </w:r>
      <w:r w:rsidRPr="001F09B7">
        <w:rPr>
          <w:sz w:val="18"/>
          <w:szCs w:val="18"/>
        </w:rPr>
        <w:t>J Cell Biochem.120:4375-4384.</w:t>
      </w:r>
    </w:p>
    <w:p w:rsidR="001F09B7" w:rsidRPr="001F09B7" w:rsidRDefault="001F09B7" w:rsidP="001F09B7">
      <w:pPr>
        <w:pStyle w:val="a5"/>
        <w:numPr>
          <w:ilvl w:val="0"/>
          <w:numId w:val="3"/>
        </w:numPr>
        <w:tabs>
          <w:tab w:val="left" w:pos="384"/>
        </w:tabs>
        <w:spacing w:before="103" w:line="216" w:lineRule="exact"/>
        <w:ind w:right="138" w:hanging="283"/>
        <w:rPr>
          <w:sz w:val="18"/>
          <w:szCs w:val="18"/>
        </w:rPr>
      </w:pPr>
      <w:r w:rsidRPr="001F09B7">
        <w:rPr>
          <w:sz w:val="18"/>
          <w:szCs w:val="18"/>
        </w:rPr>
        <w:t>Cheng L, Li P, Wang H, Yang X, Zhou H, Tao W, Tian J, Wang H</w:t>
      </w:r>
      <w:r w:rsidRPr="001F09B7">
        <w:rPr>
          <w:sz w:val="18"/>
          <w:szCs w:val="18"/>
        </w:rPr>
        <w:t xml:space="preserve"> (2018) </w:t>
      </w:r>
      <w:hyperlink r:id="rId11" w:history="1">
        <w:r w:rsidRPr="001F09B7">
          <w:rPr>
            <w:sz w:val="18"/>
            <w:szCs w:val="18"/>
          </w:rPr>
          <w:t>Decreased activity of RCAN1.4 is a potential risk factor for congenital heart disease in a Han Chinese population.</w:t>
        </w:r>
      </w:hyperlink>
      <w:r w:rsidRPr="001F09B7">
        <w:rPr>
          <w:sz w:val="18"/>
          <w:szCs w:val="18"/>
        </w:rPr>
        <w:t xml:space="preserve"> </w:t>
      </w:r>
      <w:r w:rsidRPr="001F09B7">
        <w:rPr>
          <w:sz w:val="18"/>
          <w:szCs w:val="18"/>
        </w:rPr>
        <w:t>Protein Cell. 9:1039-1044.</w:t>
      </w:r>
    </w:p>
    <w:p w:rsidR="001F09B7" w:rsidRPr="001F09B7" w:rsidRDefault="001F09B7" w:rsidP="001F09B7">
      <w:pPr>
        <w:pStyle w:val="a5"/>
        <w:numPr>
          <w:ilvl w:val="0"/>
          <w:numId w:val="3"/>
        </w:numPr>
        <w:tabs>
          <w:tab w:val="left" w:pos="384"/>
        </w:tabs>
        <w:spacing w:before="103" w:line="216" w:lineRule="exact"/>
        <w:ind w:right="138" w:hanging="283"/>
        <w:rPr>
          <w:sz w:val="18"/>
          <w:szCs w:val="18"/>
        </w:rPr>
      </w:pPr>
      <w:r w:rsidRPr="001F09B7">
        <w:rPr>
          <w:sz w:val="18"/>
          <w:szCs w:val="18"/>
        </w:rPr>
        <w:t>Wu X, Pan B, Wang Y, Liu L, Huang X, Tian J</w:t>
      </w:r>
      <w:r w:rsidRPr="001F09B7">
        <w:rPr>
          <w:sz w:val="18"/>
          <w:szCs w:val="18"/>
        </w:rPr>
        <w:t xml:space="preserve"> (2018) </w:t>
      </w:r>
      <w:hyperlink r:id="rId12" w:history="1">
        <w:r w:rsidRPr="001F09B7">
          <w:rPr>
            <w:sz w:val="18"/>
            <w:szCs w:val="18"/>
          </w:rPr>
          <w:t xml:space="preserve">The protective role of low-concentration alcohol in high-fructose induced </w:t>
        </w:r>
        <w:r w:rsidRPr="001F09B7">
          <w:rPr>
            <w:sz w:val="18"/>
            <w:szCs w:val="18"/>
          </w:rPr>
          <w:lastRenderedPageBreak/>
          <w:t>adverse cardiovascular events in mice.</w:t>
        </w:r>
      </w:hyperlink>
      <w:r w:rsidRPr="001F09B7">
        <w:rPr>
          <w:sz w:val="18"/>
          <w:szCs w:val="18"/>
        </w:rPr>
        <w:t xml:space="preserve"> </w:t>
      </w:r>
      <w:r w:rsidRPr="001F09B7">
        <w:rPr>
          <w:sz w:val="18"/>
          <w:szCs w:val="18"/>
        </w:rPr>
        <w:t>Biochem Biophys Res Commun. 495:1403-1410.</w:t>
      </w:r>
    </w:p>
    <w:p w:rsidR="001F09B7" w:rsidRDefault="001F09B7" w:rsidP="001F09B7">
      <w:pPr>
        <w:pStyle w:val="a5"/>
        <w:numPr>
          <w:ilvl w:val="0"/>
          <w:numId w:val="3"/>
        </w:numPr>
        <w:tabs>
          <w:tab w:val="left" w:pos="384"/>
        </w:tabs>
        <w:spacing w:before="103" w:line="216" w:lineRule="exact"/>
        <w:ind w:right="138" w:hanging="283"/>
        <w:rPr>
          <w:sz w:val="18"/>
          <w:szCs w:val="18"/>
        </w:rPr>
      </w:pPr>
      <w:r w:rsidRPr="001F09B7">
        <w:rPr>
          <w:sz w:val="18"/>
          <w:szCs w:val="18"/>
        </w:rPr>
        <w:t>Quan JJ, Liu LJ, Lyu TW, Huang XP, Tian J</w:t>
      </w:r>
      <w:r w:rsidRPr="001F09B7">
        <w:rPr>
          <w:sz w:val="18"/>
          <w:szCs w:val="18"/>
        </w:rPr>
        <w:t xml:space="preserve"> (2017) </w:t>
      </w:r>
      <w:hyperlink r:id="rId13" w:history="1">
        <w:r w:rsidRPr="001F09B7">
          <w:rPr>
            <w:sz w:val="18"/>
            <w:szCs w:val="18"/>
          </w:rPr>
          <w:t>Atypical Infantile-onset Pompe Disease with Hypertrophic Cardiomyopathy.</w:t>
        </w:r>
      </w:hyperlink>
      <w:r w:rsidRPr="001F09B7">
        <w:rPr>
          <w:sz w:val="18"/>
          <w:szCs w:val="18"/>
        </w:rPr>
        <w:t xml:space="preserve"> </w:t>
      </w:r>
      <w:r w:rsidRPr="001F09B7">
        <w:rPr>
          <w:sz w:val="18"/>
          <w:szCs w:val="18"/>
        </w:rPr>
        <w:t>Chin Med J (Engl). 130:2393-2394.</w:t>
      </w:r>
    </w:p>
    <w:p w:rsidR="001F09B7" w:rsidRPr="001F09B7" w:rsidRDefault="001F09B7" w:rsidP="001F09B7">
      <w:pPr>
        <w:pStyle w:val="a5"/>
        <w:numPr>
          <w:ilvl w:val="0"/>
          <w:numId w:val="3"/>
        </w:numPr>
        <w:tabs>
          <w:tab w:val="left" w:pos="384"/>
        </w:tabs>
        <w:spacing w:before="103" w:line="216" w:lineRule="exact"/>
        <w:ind w:right="138" w:hanging="283"/>
        <w:rPr>
          <w:sz w:val="18"/>
          <w:szCs w:val="18"/>
        </w:rPr>
      </w:pPr>
      <w:r w:rsidRPr="001F09B7">
        <w:rPr>
          <w:sz w:val="18"/>
          <w:szCs w:val="18"/>
        </w:rPr>
        <w:t>Pan B, Quan J, Liu L, Xu Z, Zhu J, Huang X, Tian J</w:t>
      </w:r>
      <w:r w:rsidRPr="001F09B7">
        <w:rPr>
          <w:sz w:val="18"/>
          <w:szCs w:val="18"/>
        </w:rPr>
        <w:t xml:space="preserve"> (2017) </w:t>
      </w:r>
      <w:hyperlink r:id="rId14" w:history="1">
        <w:r w:rsidRPr="001F09B7">
          <w:rPr>
            <w:sz w:val="18"/>
            <w:szCs w:val="18"/>
          </w:rPr>
          <w:t>Epigallocatechin gallate reverses cTnI-low expression-induced age-related heart diastolic dysfunction through histone acetylation modification.</w:t>
        </w:r>
      </w:hyperlink>
      <w:r w:rsidRPr="001F09B7">
        <w:rPr>
          <w:sz w:val="18"/>
          <w:szCs w:val="18"/>
        </w:rPr>
        <w:t xml:space="preserve"> </w:t>
      </w:r>
      <w:r w:rsidRPr="001F09B7">
        <w:rPr>
          <w:sz w:val="18"/>
          <w:szCs w:val="18"/>
        </w:rPr>
        <w:t>J Cell Mol Med. 21:2481-2490.</w:t>
      </w:r>
    </w:p>
    <w:p w:rsidR="00AE3E37" w:rsidRPr="008756E6" w:rsidRDefault="00AE3E37" w:rsidP="008756E6">
      <w:pPr>
        <w:tabs>
          <w:tab w:val="left" w:pos="384"/>
        </w:tabs>
        <w:ind w:right="117"/>
      </w:pP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D9344A">
      <w:pPr>
        <w:pStyle w:val="a3"/>
        <w:spacing w:line="40" w:lineRule="exact"/>
        <w:ind w:left="2202"/>
        <w:rPr>
          <w:rFonts w:ascii="Calibri"/>
          <w:sz w:val="4"/>
        </w:rPr>
      </w:pPr>
      <w:r>
        <w:rPr>
          <w:noProof/>
        </w:rPr>
        <w:drawing>
          <wp:anchor distT="0" distB="0" distL="114300" distR="114300" simplePos="0" relativeHeight="251656704" behindDoc="1" locked="0" layoutInCell="1" allowOverlap="1">
            <wp:simplePos x="0" y="0"/>
            <wp:positionH relativeFrom="column">
              <wp:posOffset>635</wp:posOffset>
            </wp:positionH>
            <wp:positionV relativeFrom="paragraph">
              <wp:posOffset>8255</wp:posOffset>
            </wp:positionV>
            <wp:extent cx="802005" cy="905510"/>
            <wp:effectExtent l="0" t="0" r="0" b="8890"/>
            <wp:wrapTight wrapText="bothSides">
              <wp:wrapPolygon edited="0">
                <wp:start x="0" y="0"/>
                <wp:lineTo x="0" y="21358"/>
                <wp:lineTo x="21036" y="21358"/>
                <wp:lineTo x="21036" y="0"/>
                <wp:lineTo x="0" y="0"/>
              </wp:wrapPolygon>
            </wp:wrapTight>
            <wp:docPr id="2" name="图片 2" descr="jiet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jietia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2005" cy="90551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78AA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D9344A" w:rsidRDefault="00D9344A">
      <w:pPr>
        <w:spacing w:before="41" w:line="154" w:lineRule="exact"/>
        <w:ind w:left="213" w:right="231"/>
        <w:jc w:val="both"/>
        <w:rPr>
          <w:rFonts w:ascii="Arial"/>
          <w:sz w:val="14"/>
        </w:rPr>
      </w:pPr>
      <w:r w:rsidRPr="00D9344A">
        <w:rPr>
          <w:rFonts w:ascii="Arial"/>
          <w:sz w:val="14"/>
        </w:rPr>
        <w:t>Jie Tian completed his PhD from Chongqing Medical University and then devoted himself to the clinic, teaching and research of children</w:t>
      </w:r>
      <w:r w:rsidRPr="00D9344A">
        <w:rPr>
          <w:rFonts w:ascii="Arial"/>
          <w:sz w:val="14"/>
        </w:rPr>
        <w:t>’</w:t>
      </w:r>
      <w:r w:rsidRPr="00D9344A">
        <w:rPr>
          <w:rFonts w:ascii="Arial"/>
          <w:sz w:val="14"/>
        </w:rPr>
        <w:t>s cardiovascular diseases for 32 years. He was also an overseas student in The Affiliated Hospital of University of Oxford in UK and Cornell University in USA, respectively. He has an honor to achieve the allowance for experts from the State Council of China and is one of the first and second evaluation experts of NSFC. He now is the vice president of Chongqing Medical University, the leader of pediatrics cardiology and the vice leader of Group of Cardiology Diseases, The Society of Pediatrics, Chinese Medical Association. He undertakes 2 cooperative projects of the national 985 and 873 programs and 29 science projects from 7 programs of NSFC. He has published 34 papers in reputed journals and has been serving as an editorial board member of repute.</w:t>
      </w:r>
    </w:p>
    <w:p w:rsidR="00AE3E37" w:rsidRDefault="00A9710C">
      <w:pPr>
        <w:spacing w:before="62"/>
        <w:ind w:left="4217" w:right="4235"/>
        <w:jc w:val="center"/>
        <w:rPr>
          <w:rFonts w:ascii="Arial"/>
          <w:sz w:val="14"/>
        </w:rPr>
      </w:pPr>
      <w:r>
        <w:rPr>
          <w:rFonts w:ascii="Arial"/>
          <w:sz w:val="14"/>
        </w:rPr>
        <w:t xml:space="preserve">Email: </w:t>
      </w:r>
      <w:r w:rsidR="00D9344A" w:rsidRPr="00D9344A">
        <w:rPr>
          <w:rStyle w:val="ac"/>
          <w:rFonts w:ascii="Arial"/>
          <w:sz w:val="14"/>
        </w:rPr>
        <w:t>jietian@cqmu.edu.cn</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0471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D9344A" w:rsidRDefault="00A9710C" w:rsidP="00D9344A">
      <w:pPr>
        <w:spacing w:before="39"/>
        <w:ind w:left="100"/>
        <w:rPr>
          <w:rFonts w:ascii="Minion Pro"/>
          <w:b/>
          <w:sz w:val="20"/>
        </w:rPr>
        <w:sectPr w:rsidR="00AE3E37" w:rsidRPr="00D9344A">
          <w:type w:val="continuous"/>
          <w:pgSz w:w="11910" w:h="16840"/>
          <w:pgMar w:top="1740" w:right="600" w:bottom="840" w:left="620" w:header="720" w:footer="720" w:gutter="0"/>
          <w:cols w:space="720"/>
        </w:sectPr>
      </w:pPr>
      <w:r w:rsidRPr="00B21A57">
        <w:rPr>
          <w:rFonts w:ascii="Minion Pro"/>
          <w:b/>
          <w:sz w:val="20"/>
        </w:rPr>
        <w:t>Notes/Comments:</w:t>
      </w:r>
      <w:r w:rsidR="00D9344A">
        <w:rPr>
          <w:rFonts w:ascii="Minion Pro" w:eastAsiaTheme="minorEastAsia" w:hint="eastAsia"/>
          <w:b/>
          <w:sz w:val="20"/>
          <w:lang w:eastAsia="zh-CN"/>
        </w:rPr>
        <w:t xml:space="preserve"> </w:t>
      </w:r>
      <w:r w:rsidR="00D9344A">
        <w:rPr>
          <w:rFonts w:asciiTheme="minorEastAsia" w:eastAsiaTheme="minorEastAsia" w:hAnsiTheme="minorEastAsia"/>
          <w:sz w:val="24"/>
          <w:lang w:eastAsia="zh-CN"/>
        </w:rPr>
        <w:t>N</w:t>
      </w:r>
      <w:r w:rsidR="00D9344A">
        <w:rPr>
          <w:rFonts w:asciiTheme="minorEastAsia" w:eastAsiaTheme="minorEastAsia" w:hAnsiTheme="minorEastAsia" w:hint="eastAsia"/>
          <w:sz w:val="24"/>
          <w:lang w:eastAsia="zh-CN"/>
        </w:rPr>
        <w:t>one</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A0871C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bordersDoNotSurroundHeader/>
  <w:bordersDoNotSurroundFooter/>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F09B7"/>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8316D"/>
    <w:rsid w:val="00C33602"/>
    <w:rsid w:val="00C5038E"/>
    <w:rsid w:val="00CD6F55"/>
    <w:rsid w:val="00D9344A"/>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6EAF5D"/>
  <w15:docId w15:val="{04011CFA-C278-4C69-843A-05259C02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customStyle="1" w:styleId="jrnl">
    <w:name w:val="jrnl"/>
    <w:basedOn w:val="a0"/>
    <w:rsid w:val="001F0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325853">
      <w:bodyDiv w:val="1"/>
      <w:marLeft w:val="0"/>
      <w:marRight w:val="0"/>
      <w:marTop w:val="0"/>
      <w:marBottom w:val="0"/>
      <w:divBdr>
        <w:top w:val="none" w:sz="0" w:space="0" w:color="auto"/>
        <w:left w:val="none" w:sz="0" w:space="0" w:color="auto"/>
        <w:bottom w:val="none" w:sz="0" w:space="0" w:color="auto"/>
        <w:right w:val="none" w:sz="0" w:space="0" w:color="auto"/>
      </w:divBdr>
      <w:divsChild>
        <w:div w:id="925383541">
          <w:marLeft w:val="42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28937052" TargetMode="Externa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yperlink" Target="https://www.ncbi.nlm.nih.gov/pubmed/2917520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29594719"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www.ncbi.nlm.nih.gov/pubmed/3028621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ncbi.nlm.nih.gov/pubmed/2838269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QUAN</cp:lastModifiedBy>
  <cp:revision>5</cp:revision>
  <dcterms:created xsi:type="dcterms:W3CDTF">2016-12-06T11:19:00Z</dcterms:created>
  <dcterms:modified xsi:type="dcterms:W3CDTF">2019-02-08T16:22:00Z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