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12D" w:rsidRPr="002D16AA" w:rsidRDefault="005B712D" w:rsidP="005B712D">
      <w:pPr>
        <w:widowControl w:val="0"/>
        <w:autoSpaceDE w:val="0"/>
        <w:autoSpaceDN w:val="0"/>
        <w:adjustRightInd w:val="0"/>
        <w:spacing w:after="0" w:line="480" w:lineRule="auto"/>
        <w:jc w:val="center"/>
        <w:rPr>
          <w:rFonts w:asciiTheme="majorBidi" w:hAnsiTheme="majorBidi" w:cstheme="majorBidi"/>
          <w:b/>
          <w:bCs/>
          <w:sz w:val="32"/>
          <w:szCs w:val="32"/>
        </w:rPr>
      </w:pPr>
      <w:r w:rsidRPr="002D16AA">
        <w:rPr>
          <w:rFonts w:asciiTheme="majorBidi" w:hAnsiTheme="majorBidi" w:cstheme="majorBidi"/>
          <w:b/>
          <w:bCs/>
          <w:sz w:val="32"/>
          <w:szCs w:val="32"/>
        </w:rPr>
        <w:t>Therapeutic potential of 10-DHGD and or/</w:t>
      </w:r>
      <w:proofErr w:type="spellStart"/>
      <w:proofErr w:type="gramStart"/>
      <w:r w:rsidRPr="002D16AA">
        <w:rPr>
          <w:rFonts w:asciiTheme="majorBidi" w:hAnsiTheme="majorBidi" w:cstheme="majorBidi"/>
          <w:b/>
          <w:bCs/>
          <w:sz w:val="32"/>
          <w:szCs w:val="32"/>
        </w:rPr>
        <w:t>pentoxifyllin</w:t>
      </w:r>
      <w:proofErr w:type="spellEnd"/>
      <w:r w:rsidRPr="002D16AA">
        <w:rPr>
          <w:rFonts w:asciiTheme="majorBidi" w:hAnsiTheme="majorBidi" w:cstheme="majorBidi"/>
          <w:b/>
          <w:bCs/>
          <w:sz w:val="32"/>
          <w:szCs w:val="32"/>
        </w:rPr>
        <w:t xml:space="preserve">  against</w:t>
      </w:r>
      <w:proofErr w:type="gramEnd"/>
      <w:r w:rsidRPr="002D16AA">
        <w:rPr>
          <w:rFonts w:asciiTheme="majorBidi" w:hAnsiTheme="majorBidi" w:cstheme="majorBidi"/>
          <w:b/>
          <w:bCs/>
          <w:sz w:val="32"/>
          <w:szCs w:val="32"/>
        </w:rPr>
        <w:t xml:space="preserve"> Aorta calcification  in  high dietary cholesterol-fed rabbits</w:t>
      </w:r>
    </w:p>
    <w:p w:rsidR="005B712D" w:rsidRPr="00AF18B6" w:rsidRDefault="005B712D" w:rsidP="005B712D">
      <w:pPr>
        <w:widowControl w:val="0"/>
        <w:autoSpaceDE w:val="0"/>
        <w:autoSpaceDN w:val="0"/>
        <w:adjustRightInd w:val="0"/>
        <w:spacing w:after="0" w:line="480" w:lineRule="auto"/>
        <w:jc w:val="center"/>
        <w:rPr>
          <w:rFonts w:asciiTheme="majorBidi" w:hAnsiTheme="majorBidi" w:cstheme="majorBidi"/>
          <w:b/>
          <w:bCs/>
          <w:sz w:val="28"/>
          <w:szCs w:val="28"/>
        </w:rPr>
      </w:pPr>
    </w:p>
    <w:p w:rsidR="005B712D" w:rsidRDefault="005B712D" w:rsidP="005B712D">
      <w:pPr>
        <w:autoSpaceDE w:val="0"/>
        <w:autoSpaceDN w:val="0"/>
        <w:adjustRightInd w:val="0"/>
        <w:spacing w:after="0" w:line="480" w:lineRule="auto"/>
        <w:jc w:val="center"/>
        <w:outlineLvl w:val="0"/>
        <w:rPr>
          <w:rFonts w:asciiTheme="majorBidi" w:eastAsia="SimSun" w:hAnsiTheme="majorBidi" w:cstheme="majorBidi"/>
          <w:b/>
          <w:color w:val="000000"/>
        </w:rPr>
      </w:pPr>
      <w:r w:rsidRPr="002D16AA">
        <w:rPr>
          <w:rFonts w:asciiTheme="majorBidi" w:eastAsia="SimSun" w:hAnsiTheme="majorBidi" w:cstheme="majorBidi"/>
          <w:b/>
          <w:color w:val="FF0000"/>
          <w:sz w:val="32"/>
          <w:szCs w:val="32"/>
        </w:rPr>
        <w:t>Mohamed</w:t>
      </w:r>
      <w:r w:rsidRPr="002D16AA">
        <w:rPr>
          <w:rFonts w:asciiTheme="majorBidi" w:eastAsia="SimSun" w:hAnsiTheme="majorBidi" w:cstheme="majorBidi"/>
          <w:b/>
          <w:color w:val="FF0000"/>
          <w:sz w:val="32"/>
          <w:szCs w:val="32"/>
          <w:u w:val="single"/>
        </w:rPr>
        <w:t xml:space="preserve"> M. </w:t>
      </w:r>
      <w:proofErr w:type="spellStart"/>
      <w:r w:rsidRPr="002D16AA">
        <w:rPr>
          <w:rFonts w:asciiTheme="majorBidi" w:eastAsia="SimSun" w:hAnsiTheme="majorBidi" w:cstheme="majorBidi"/>
          <w:b/>
          <w:color w:val="FF0000"/>
          <w:sz w:val="32"/>
          <w:szCs w:val="32"/>
          <w:u w:val="single"/>
        </w:rPr>
        <w:t>Elseweidy</w:t>
      </w:r>
      <w:r w:rsidRPr="002D16AA">
        <w:rPr>
          <w:rFonts w:asciiTheme="majorBidi" w:eastAsia="SimSun" w:hAnsiTheme="majorBidi" w:cstheme="majorBidi"/>
          <w:b/>
          <w:color w:val="FF0000"/>
          <w:sz w:val="32"/>
          <w:szCs w:val="32"/>
          <w:u w:val="single"/>
          <w:vertAlign w:val="superscript"/>
        </w:rPr>
        <w:t>a</w:t>
      </w:r>
      <w:proofErr w:type="spellEnd"/>
      <w:r w:rsidRPr="00AF18B6">
        <w:rPr>
          <w:rFonts w:asciiTheme="majorBidi" w:eastAsia="SimSun" w:hAnsiTheme="majorBidi" w:cstheme="majorBidi"/>
          <w:b/>
          <w:color w:val="000000"/>
          <w:vertAlign w:val="superscript"/>
        </w:rPr>
        <w:t>,*</w:t>
      </w:r>
      <w:r w:rsidRPr="00AF18B6">
        <w:rPr>
          <w:rFonts w:asciiTheme="majorBidi" w:eastAsia="SimSun" w:hAnsiTheme="majorBidi" w:cstheme="majorBidi"/>
          <w:b/>
          <w:color w:val="000000"/>
        </w:rPr>
        <w:t xml:space="preserve">, </w:t>
      </w:r>
      <w:proofErr w:type="spellStart"/>
      <w:r w:rsidRPr="00AF18B6">
        <w:rPr>
          <w:rFonts w:asciiTheme="majorBidi" w:eastAsia="SimSun" w:hAnsiTheme="majorBidi" w:cstheme="majorBidi"/>
          <w:b/>
          <w:color w:val="000000"/>
        </w:rPr>
        <w:t>Hoda</w:t>
      </w:r>
      <w:proofErr w:type="spellEnd"/>
      <w:r w:rsidRPr="00AF18B6">
        <w:rPr>
          <w:rFonts w:asciiTheme="majorBidi" w:eastAsia="SimSun" w:hAnsiTheme="majorBidi" w:cstheme="majorBidi"/>
          <w:b/>
          <w:color w:val="000000"/>
        </w:rPr>
        <w:t xml:space="preserve"> E. </w:t>
      </w:r>
      <w:proofErr w:type="spellStart"/>
      <w:r w:rsidRPr="00AF18B6">
        <w:rPr>
          <w:rFonts w:asciiTheme="majorBidi" w:eastAsia="SimSun" w:hAnsiTheme="majorBidi" w:cstheme="majorBidi"/>
          <w:b/>
          <w:color w:val="000000"/>
        </w:rPr>
        <w:t>Mohamed</w:t>
      </w:r>
      <w:r w:rsidRPr="00AF18B6">
        <w:rPr>
          <w:rFonts w:asciiTheme="majorBidi" w:eastAsia="SimSun" w:hAnsiTheme="majorBidi" w:cstheme="majorBidi"/>
          <w:b/>
          <w:color w:val="000000"/>
          <w:vertAlign w:val="superscript"/>
        </w:rPr>
        <w:t>a</w:t>
      </w:r>
      <w:proofErr w:type="spellEnd"/>
      <w:r w:rsidRPr="00AF18B6">
        <w:rPr>
          <w:rFonts w:asciiTheme="majorBidi" w:eastAsia="SimSun" w:hAnsiTheme="majorBidi" w:cstheme="majorBidi"/>
          <w:b/>
        </w:rPr>
        <w:t xml:space="preserve">, </w:t>
      </w:r>
      <w:proofErr w:type="spellStart"/>
      <w:r w:rsidRPr="00AF18B6">
        <w:rPr>
          <w:rFonts w:asciiTheme="majorBidi" w:eastAsia="SimSun" w:hAnsiTheme="majorBidi" w:cstheme="majorBidi"/>
          <w:b/>
        </w:rPr>
        <w:t>Hebatallah</w:t>
      </w:r>
      <w:proofErr w:type="spellEnd"/>
      <w:r w:rsidRPr="00AF18B6">
        <w:rPr>
          <w:rFonts w:asciiTheme="majorBidi" w:eastAsia="SimSun" w:hAnsiTheme="majorBidi" w:cstheme="majorBidi"/>
          <w:b/>
        </w:rPr>
        <w:t xml:space="preserve"> H. </w:t>
      </w:r>
      <w:proofErr w:type="spellStart"/>
      <w:r w:rsidRPr="00AF18B6">
        <w:rPr>
          <w:rFonts w:asciiTheme="majorBidi" w:eastAsia="SimSun" w:hAnsiTheme="majorBidi" w:cstheme="majorBidi"/>
          <w:b/>
        </w:rPr>
        <w:t>Atteia</w:t>
      </w:r>
      <w:r w:rsidRPr="00AF18B6">
        <w:rPr>
          <w:rFonts w:asciiTheme="majorBidi" w:eastAsia="SimSun" w:hAnsiTheme="majorBidi" w:cstheme="majorBidi"/>
          <w:b/>
          <w:color w:val="000000"/>
          <w:vertAlign w:val="superscript"/>
        </w:rPr>
        <w:t>a</w:t>
      </w:r>
      <w:proofErr w:type="spellEnd"/>
      <w:r>
        <w:rPr>
          <w:rFonts w:asciiTheme="majorBidi" w:eastAsia="SimSun" w:hAnsiTheme="majorBidi" w:cstheme="majorBidi"/>
          <w:b/>
          <w:color w:val="000000"/>
        </w:rPr>
        <w:t xml:space="preserve">, </w:t>
      </w:r>
      <w:proofErr w:type="spellStart"/>
      <w:r w:rsidRPr="00AF18B6">
        <w:rPr>
          <w:rFonts w:asciiTheme="majorBidi" w:eastAsia="SimSun" w:hAnsiTheme="majorBidi" w:cstheme="majorBidi"/>
          <w:b/>
          <w:color w:val="000000"/>
        </w:rPr>
        <w:t>Gehad</w:t>
      </w:r>
      <w:proofErr w:type="spellEnd"/>
      <w:r w:rsidRPr="00AF18B6">
        <w:rPr>
          <w:rFonts w:asciiTheme="majorBidi" w:eastAsia="SimSun" w:hAnsiTheme="majorBidi" w:cstheme="majorBidi"/>
          <w:b/>
          <w:color w:val="000000"/>
        </w:rPr>
        <w:t xml:space="preserve"> M. </w:t>
      </w:r>
      <w:proofErr w:type="spellStart"/>
      <w:r w:rsidRPr="00AF18B6">
        <w:rPr>
          <w:rFonts w:asciiTheme="majorBidi" w:eastAsia="SimSun" w:hAnsiTheme="majorBidi" w:cstheme="majorBidi"/>
          <w:b/>
          <w:color w:val="000000"/>
        </w:rPr>
        <w:t>Elnagar</w:t>
      </w:r>
      <w:r w:rsidRPr="00AF18B6">
        <w:rPr>
          <w:rFonts w:asciiTheme="majorBidi" w:eastAsia="SimSun" w:hAnsiTheme="majorBidi" w:cstheme="majorBidi"/>
          <w:b/>
          <w:color w:val="000000"/>
          <w:vertAlign w:val="superscript"/>
        </w:rPr>
        <w:t>a</w:t>
      </w:r>
      <w:proofErr w:type="spellEnd"/>
      <w:r>
        <w:rPr>
          <w:rFonts w:asciiTheme="majorBidi" w:eastAsia="SimSun" w:hAnsiTheme="majorBidi" w:cstheme="majorBidi"/>
          <w:b/>
          <w:color w:val="000000"/>
        </w:rPr>
        <w:t xml:space="preserve"> and </w:t>
      </w:r>
      <w:proofErr w:type="spellStart"/>
      <w:r>
        <w:rPr>
          <w:rFonts w:asciiTheme="majorBidi" w:eastAsia="SimSun" w:hAnsiTheme="majorBidi" w:cstheme="majorBidi"/>
          <w:b/>
          <w:color w:val="000000"/>
        </w:rPr>
        <w:t>Abd</w:t>
      </w:r>
      <w:proofErr w:type="spellEnd"/>
      <w:r>
        <w:rPr>
          <w:rFonts w:asciiTheme="majorBidi" w:eastAsia="SimSun" w:hAnsiTheme="majorBidi" w:cstheme="majorBidi"/>
          <w:b/>
          <w:color w:val="000000"/>
        </w:rPr>
        <w:t xml:space="preserve"> El-</w:t>
      </w:r>
      <w:proofErr w:type="spellStart"/>
      <w:r>
        <w:rPr>
          <w:rFonts w:asciiTheme="majorBidi" w:eastAsia="SimSun" w:hAnsiTheme="majorBidi" w:cstheme="majorBidi"/>
          <w:b/>
          <w:color w:val="000000"/>
        </w:rPr>
        <w:t>MonemAli</w:t>
      </w:r>
      <w:r w:rsidRPr="00550417">
        <w:rPr>
          <w:rFonts w:asciiTheme="majorBidi" w:eastAsia="SimSun" w:hAnsiTheme="majorBidi" w:cstheme="majorBidi"/>
          <w:b/>
          <w:color w:val="000000"/>
          <w:vertAlign w:val="superscript"/>
        </w:rPr>
        <w:t>b</w:t>
      </w:r>
      <w:proofErr w:type="spellEnd"/>
    </w:p>
    <w:p w:rsidR="005B712D" w:rsidRPr="00AF18B6" w:rsidRDefault="005B712D" w:rsidP="005B712D">
      <w:pPr>
        <w:autoSpaceDE w:val="0"/>
        <w:autoSpaceDN w:val="0"/>
        <w:adjustRightInd w:val="0"/>
        <w:spacing w:after="0" w:line="480" w:lineRule="auto"/>
        <w:jc w:val="center"/>
        <w:outlineLvl w:val="0"/>
        <w:rPr>
          <w:rFonts w:asciiTheme="majorBidi" w:eastAsia="SimSun" w:hAnsiTheme="majorBidi" w:cstheme="majorBidi"/>
          <w:b/>
          <w:color w:val="000000"/>
          <w:sz w:val="24"/>
          <w:szCs w:val="24"/>
        </w:rPr>
      </w:pPr>
    </w:p>
    <w:p w:rsidR="005B712D" w:rsidRDefault="005B712D" w:rsidP="005B712D">
      <w:pPr>
        <w:suppressAutoHyphens/>
        <w:autoSpaceDE w:val="0"/>
        <w:autoSpaceDN w:val="0"/>
        <w:adjustRightInd w:val="0"/>
        <w:spacing w:after="0" w:line="480" w:lineRule="auto"/>
        <w:rPr>
          <w:rFonts w:asciiTheme="majorBidi" w:eastAsia="SimSun" w:hAnsiTheme="majorBidi" w:cstheme="majorBidi"/>
          <w:i/>
          <w:iCs/>
          <w:sz w:val="20"/>
          <w:szCs w:val="20"/>
        </w:rPr>
      </w:pPr>
      <w:proofErr w:type="spellStart"/>
      <w:proofErr w:type="gramStart"/>
      <w:r w:rsidRPr="00AF18B6">
        <w:rPr>
          <w:rFonts w:asciiTheme="majorBidi" w:eastAsia="SimSun" w:hAnsiTheme="majorBidi" w:cstheme="majorBidi"/>
          <w:i/>
          <w:iCs/>
          <w:sz w:val="20"/>
          <w:szCs w:val="20"/>
          <w:vertAlign w:val="superscript"/>
        </w:rPr>
        <w:t>a</w:t>
      </w:r>
      <w:r w:rsidRPr="00AF18B6">
        <w:rPr>
          <w:rFonts w:asciiTheme="majorBidi" w:eastAsia="SimSun" w:hAnsiTheme="majorBidi" w:cstheme="majorBidi"/>
          <w:i/>
          <w:iCs/>
          <w:sz w:val="20"/>
          <w:szCs w:val="20"/>
        </w:rPr>
        <w:t>Department</w:t>
      </w:r>
      <w:proofErr w:type="spellEnd"/>
      <w:proofErr w:type="gramEnd"/>
      <w:r w:rsidRPr="00AF18B6">
        <w:rPr>
          <w:rFonts w:asciiTheme="majorBidi" w:eastAsia="SimSun" w:hAnsiTheme="majorBidi" w:cstheme="majorBidi"/>
          <w:i/>
          <w:iCs/>
          <w:sz w:val="20"/>
          <w:szCs w:val="20"/>
        </w:rPr>
        <w:t xml:space="preserve"> of Biochemistry, Faculty of Pharmacy, </w:t>
      </w:r>
      <w:proofErr w:type="spellStart"/>
      <w:r w:rsidRPr="00AF18B6">
        <w:rPr>
          <w:rFonts w:asciiTheme="majorBidi" w:eastAsia="SimSun" w:hAnsiTheme="majorBidi" w:cstheme="majorBidi"/>
          <w:i/>
          <w:iCs/>
          <w:sz w:val="20"/>
          <w:szCs w:val="20"/>
        </w:rPr>
        <w:t>Zagazig</w:t>
      </w:r>
      <w:proofErr w:type="spellEnd"/>
      <w:r w:rsidRPr="00AF18B6">
        <w:rPr>
          <w:rFonts w:asciiTheme="majorBidi" w:eastAsia="SimSun" w:hAnsiTheme="majorBidi" w:cstheme="majorBidi"/>
          <w:i/>
          <w:iCs/>
          <w:sz w:val="20"/>
          <w:szCs w:val="20"/>
        </w:rPr>
        <w:t xml:space="preserve"> University, </w:t>
      </w:r>
      <w:proofErr w:type="spellStart"/>
      <w:r w:rsidRPr="00AF18B6">
        <w:rPr>
          <w:rFonts w:asciiTheme="majorBidi" w:eastAsia="SimSun" w:hAnsiTheme="majorBidi" w:cstheme="majorBidi"/>
          <w:i/>
          <w:iCs/>
          <w:sz w:val="20"/>
          <w:szCs w:val="20"/>
        </w:rPr>
        <w:t>Zagazig</w:t>
      </w:r>
      <w:proofErr w:type="spellEnd"/>
      <w:r w:rsidRPr="00AF18B6">
        <w:rPr>
          <w:rFonts w:asciiTheme="majorBidi" w:eastAsia="SimSun" w:hAnsiTheme="majorBidi" w:cstheme="majorBidi"/>
          <w:i/>
          <w:iCs/>
          <w:sz w:val="20"/>
          <w:szCs w:val="20"/>
        </w:rPr>
        <w:t xml:space="preserve"> 44519, Egypt</w:t>
      </w:r>
    </w:p>
    <w:p w:rsidR="005B712D" w:rsidRDefault="005B712D" w:rsidP="005B712D">
      <w:pPr>
        <w:suppressAutoHyphens/>
        <w:autoSpaceDE w:val="0"/>
        <w:autoSpaceDN w:val="0"/>
        <w:adjustRightInd w:val="0"/>
        <w:spacing w:after="0" w:line="480" w:lineRule="auto"/>
        <w:rPr>
          <w:rFonts w:asciiTheme="majorBidi" w:eastAsia="SimSun" w:hAnsiTheme="majorBidi" w:cstheme="majorBidi"/>
          <w:i/>
          <w:iCs/>
          <w:sz w:val="20"/>
          <w:szCs w:val="20"/>
        </w:rPr>
      </w:pPr>
      <w:proofErr w:type="spellStart"/>
      <w:proofErr w:type="gramStart"/>
      <w:r>
        <w:rPr>
          <w:rFonts w:asciiTheme="majorBidi" w:eastAsia="SimSun" w:hAnsiTheme="majorBidi" w:cstheme="majorBidi"/>
          <w:i/>
          <w:iCs/>
          <w:sz w:val="20"/>
          <w:szCs w:val="20"/>
        </w:rPr>
        <w:t>b</w:t>
      </w:r>
      <w:r w:rsidRPr="00AF18B6">
        <w:rPr>
          <w:rFonts w:asciiTheme="majorBidi" w:eastAsia="SimSun" w:hAnsiTheme="majorBidi" w:cstheme="majorBidi"/>
          <w:i/>
          <w:iCs/>
          <w:sz w:val="20"/>
          <w:szCs w:val="20"/>
        </w:rPr>
        <w:t>Department</w:t>
      </w:r>
      <w:proofErr w:type="spellEnd"/>
      <w:proofErr w:type="gramEnd"/>
      <w:r w:rsidRPr="00AF18B6">
        <w:rPr>
          <w:rFonts w:asciiTheme="majorBidi" w:eastAsia="SimSun" w:hAnsiTheme="majorBidi" w:cstheme="majorBidi"/>
          <w:i/>
          <w:iCs/>
          <w:sz w:val="20"/>
          <w:szCs w:val="20"/>
        </w:rPr>
        <w:t xml:space="preserve"> of </w:t>
      </w:r>
      <w:r>
        <w:rPr>
          <w:rFonts w:asciiTheme="majorBidi" w:eastAsia="SimSun" w:hAnsiTheme="majorBidi" w:cstheme="majorBidi"/>
          <w:i/>
          <w:iCs/>
          <w:sz w:val="20"/>
          <w:szCs w:val="20"/>
        </w:rPr>
        <w:t>Pathology</w:t>
      </w:r>
      <w:r w:rsidRPr="00AF18B6">
        <w:rPr>
          <w:rFonts w:asciiTheme="majorBidi" w:eastAsia="SimSun" w:hAnsiTheme="majorBidi" w:cstheme="majorBidi"/>
          <w:i/>
          <w:iCs/>
          <w:sz w:val="20"/>
          <w:szCs w:val="20"/>
        </w:rPr>
        <w:t xml:space="preserve">, Faculty of </w:t>
      </w:r>
      <w:r>
        <w:rPr>
          <w:rFonts w:asciiTheme="majorBidi" w:eastAsia="SimSun" w:hAnsiTheme="majorBidi" w:cstheme="majorBidi"/>
          <w:i/>
          <w:iCs/>
          <w:sz w:val="20"/>
          <w:szCs w:val="20"/>
        </w:rPr>
        <w:t>Veterinary Medicine</w:t>
      </w:r>
      <w:r w:rsidRPr="00AF18B6">
        <w:rPr>
          <w:rFonts w:asciiTheme="majorBidi" w:eastAsia="SimSun" w:hAnsiTheme="majorBidi" w:cstheme="majorBidi"/>
          <w:i/>
          <w:iCs/>
          <w:sz w:val="20"/>
          <w:szCs w:val="20"/>
        </w:rPr>
        <w:t xml:space="preserve">, </w:t>
      </w:r>
      <w:proofErr w:type="spellStart"/>
      <w:r w:rsidRPr="00AF18B6">
        <w:rPr>
          <w:rFonts w:asciiTheme="majorBidi" w:eastAsia="SimSun" w:hAnsiTheme="majorBidi" w:cstheme="majorBidi"/>
          <w:i/>
          <w:iCs/>
          <w:sz w:val="20"/>
          <w:szCs w:val="20"/>
        </w:rPr>
        <w:t>Zagazig</w:t>
      </w:r>
      <w:proofErr w:type="spellEnd"/>
      <w:r w:rsidRPr="00AF18B6">
        <w:rPr>
          <w:rFonts w:asciiTheme="majorBidi" w:eastAsia="SimSun" w:hAnsiTheme="majorBidi" w:cstheme="majorBidi"/>
          <w:i/>
          <w:iCs/>
          <w:sz w:val="20"/>
          <w:szCs w:val="20"/>
        </w:rPr>
        <w:t xml:space="preserve"> University, </w:t>
      </w:r>
      <w:proofErr w:type="spellStart"/>
      <w:r w:rsidRPr="00AF18B6">
        <w:rPr>
          <w:rFonts w:asciiTheme="majorBidi" w:eastAsia="SimSun" w:hAnsiTheme="majorBidi" w:cstheme="majorBidi"/>
          <w:i/>
          <w:iCs/>
          <w:sz w:val="20"/>
          <w:szCs w:val="20"/>
        </w:rPr>
        <w:t>Zagazig</w:t>
      </w:r>
      <w:proofErr w:type="spellEnd"/>
      <w:r w:rsidRPr="00AF18B6">
        <w:rPr>
          <w:rFonts w:asciiTheme="majorBidi" w:eastAsia="SimSun" w:hAnsiTheme="majorBidi" w:cstheme="majorBidi"/>
          <w:i/>
          <w:iCs/>
          <w:sz w:val="20"/>
          <w:szCs w:val="20"/>
        </w:rPr>
        <w:t xml:space="preserve"> 44519, Egypt</w:t>
      </w:r>
    </w:p>
    <w:p w:rsidR="005B712D" w:rsidRPr="002D16AA" w:rsidRDefault="005B712D" w:rsidP="005B712D">
      <w:pPr>
        <w:spacing w:after="0" w:line="480" w:lineRule="auto"/>
        <w:rPr>
          <w:rFonts w:asciiTheme="majorBidi" w:hAnsiTheme="majorBidi" w:cstheme="majorBidi"/>
          <w:b/>
          <w:bCs/>
          <w:sz w:val="32"/>
          <w:szCs w:val="32"/>
        </w:rPr>
      </w:pPr>
      <w:r w:rsidRPr="002D16AA">
        <w:rPr>
          <w:rFonts w:asciiTheme="majorBidi" w:hAnsiTheme="majorBidi" w:cstheme="majorBidi"/>
          <w:b/>
          <w:bCs/>
          <w:sz w:val="32"/>
          <w:szCs w:val="32"/>
        </w:rPr>
        <w:t>Abstract</w:t>
      </w:r>
    </w:p>
    <w:p w:rsidR="005B712D" w:rsidRPr="002D16AA" w:rsidRDefault="005B712D" w:rsidP="005B712D">
      <w:pPr>
        <w:widowControl w:val="0"/>
        <w:autoSpaceDE w:val="0"/>
        <w:autoSpaceDN w:val="0"/>
        <w:adjustRightInd w:val="0"/>
        <w:spacing w:after="0" w:line="480" w:lineRule="auto"/>
        <w:rPr>
          <w:rFonts w:asciiTheme="majorBidi" w:hAnsiTheme="majorBidi" w:cstheme="majorBidi"/>
          <w:sz w:val="32"/>
          <w:szCs w:val="32"/>
        </w:rPr>
      </w:pPr>
      <w:r w:rsidRPr="002D16AA">
        <w:rPr>
          <w:rFonts w:asciiTheme="majorBidi" w:hAnsiTheme="majorBidi" w:cstheme="majorBidi"/>
          <w:sz w:val="32"/>
          <w:szCs w:val="32"/>
        </w:rPr>
        <w:t xml:space="preserve">The present study aimed to investigate the inhibitory effects of 10-dehydrogingerdione (10-DHGD) and </w:t>
      </w:r>
      <w:proofErr w:type="spellStart"/>
      <w:r w:rsidRPr="002D16AA">
        <w:rPr>
          <w:rFonts w:asciiTheme="majorBidi" w:hAnsiTheme="majorBidi" w:cstheme="majorBidi"/>
          <w:sz w:val="32"/>
          <w:szCs w:val="32"/>
        </w:rPr>
        <w:t>pentoxifylline</w:t>
      </w:r>
      <w:proofErr w:type="spellEnd"/>
      <w:r w:rsidRPr="002D16AA">
        <w:rPr>
          <w:rFonts w:asciiTheme="majorBidi" w:hAnsiTheme="majorBidi" w:cstheme="majorBidi"/>
          <w:sz w:val="32"/>
          <w:szCs w:val="32"/>
        </w:rPr>
        <w:t xml:space="preserve"> (PTX) either individually or in combined form on calcium deposition in high cholesterol diet (HCD)-fed rabbits as compared to </w:t>
      </w:r>
      <w:proofErr w:type="spellStart"/>
      <w:r w:rsidRPr="002D16AA">
        <w:rPr>
          <w:rFonts w:asciiTheme="majorBidi" w:hAnsiTheme="majorBidi" w:cstheme="majorBidi"/>
          <w:sz w:val="32"/>
          <w:szCs w:val="32"/>
        </w:rPr>
        <w:t>atorvastatin</w:t>
      </w:r>
      <w:proofErr w:type="spellEnd"/>
      <w:r w:rsidRPr="002D16AA">
        <w:rPr>
          <w:rFonts w:asciiTheme="majorBidi" w:hAnsiTheme="majorBidi" w:cstheme="majorBidi"/>
          <w:sz w:val="32"/>
          <w:szCs w:val="32"/>
        </w:rPr>
        <w:t xml:space="preserve"> (ATOR), and to clarify the underlying mechanisms. Three months old male New Zealand white rabbits received either normal chow or HCD for 12 weeks. The latter group was subdivided into five groups and concurrently treated either with vehicle (</w:t>
      </w:r>
      <w:proofErr w:type="spellStart"/>
      <w:r w:rsidRPr="002D16AA">
        <w:rPr>
          <w:rFonts w:asciiTheme="majorBidi" w:hAnsiTheme="majorBidi" w:cstheme="majorBidi"/>
          <w:sz w:val="32"/>
          <w:szCs w:val="32"/>
        </w:rPr>
        <w:t>dyslipidemic</w:t>
      </w:r>
      <w:proofErr w:type="spellEnd"/>
      <w:r w:rsidRPr="002D16AA">
        <w:rPr>
          <w:rFonts w:asciiTheme="majorBidi" w:hAnsiTheme="majorBidi" w:cstheme="majorBidi"/>
          <w:sz w:val="32"/>
          <w:szCs w:val="32"/>
        </w:rPr>
        <w:t xml:space="preserve"> control), ATOR, 10-DHGD, PTX or combined 10-DHGD and PTX. Blood samples and aortic tissue </w:t>
      </w:r>
      <w:r w:rsidRPr="002D16AA">
        <w:rPr>
          <w:rFonts w:asciiTheme="majorBidi" w:hAnsiTheme="majorBidi" w:cstheme="majorBidi"/>
          <w:sz w:val="32"/>
          <w:szCs w:val="32"/>
        </w:rPr>
        <w:lastRenderedPageBreak/>
        <w:t xml:space="preserve">were collected for biochemical and histological analyses. HCD-fed rabbits displayed </w:t>
      </w:r>
      <w:proofErr w:type="spellStart"/>
      <w:r w:rsidRPr="002D16AA">
        <w:rPr>
          <w:rFonts w:asciiTheme="majorBidi" w:hAnsiTheme="majorBidi" w:cstheme="majorBidi"/>
          <w:sz w:val="32"/>
          <w:szCs w:val="32"/>
        </w:rPr>
        <w:t>dyslipidemia</w:t>
      </w:r>
      <w:proofErr w:type="spellEnd"/>
      <w:r w:rsidRPr="002D16AA">
        <w:rPr>
          <w:rFonts w:asciiTheme="majorBidi" w:hAnsiTheme="majorBidi" w:cstheme="majorBidi"/>
          <w:sz w:val="32"/>
          <w:szCs w:val="32"/>
        </w:rPr>
        <w:t xml:space="preserve">, inflammation, atherosclerotic lesions and calcium deposition in aortas as compared to normal group. This was associated with up-regulation of bone morphogenetic protein-2 (BMP-2), wingless-type MMTV integration site family 3A (Wnt3a) mRNA levels and </w:t>
      </w:r>
      <w:proofErr w:type="spellStart"/>
      <w:r w:rsidRPr="002D16AA">
        <w:rPr>
          <w:rFonts w:asciiTheme="majorBidi" w:hAnsiTheme="majorBidi" w:cstheme="majorBidi"/>
          <w:sz w:val="32"/>
          <w:szCs w:val="32"/>
        </w:rPr>
        <w:t>osteopontin</w:t>
      </w:r>
      <w:proofErr w:type="spellEnd"/>
      <w:r w:rsidRPr="002D16AA">
        <w:rPr>
          <w:rFonts w:asciiTheme="majorBidi" w:hAnsiTheme="majorBidi" w:cstheme="majorBidi"/>
          <w:sz w:val="32"/>
          <w:szCs w:val="32"/>
        </w:rPr>
        <w:t xml:space="preserve"> (OPN) expression in their aortic tissue, along with higher serum alkaline </w:t>
      </w:r>
      <w:proofErr w:type="spellStart"/>
      <w:r w:rsidRPr="002D16AA">
        <w:rPr>
          <w:rFonts w:asciiTheme="majorBidi" w:hAnsiTheme="majorBidi" w:cstheme="majorBidi"/>
          <w:sz w:val="32"/>
          <w:szCs w:val="32"/>
        </w:rPr>
        <w:t>phosphatase</w:t>
      </w:r>
      <w:proofErr w:type="spellEnd"/>
      <w:r w:rsidRPr="002D16AA">
        <w:rPr>
          <w:rFonts w:asciiTheme="majorBidi" w:hAnsiTheme="majorBidi" w:cstheme="majorBidi"/>
          <w:sz w:val="32"/>
          <w:szCs w:val="32"/>
        </w:rPr>
        <w:t xml:space="preserve"> (ALP) and </w:t>
      </w:r>
      <w:proofErr w:type="spellStart"/>
      <w:r w:rsidRPr="002D16AA">
        <w:rPr>
          <w:rFonts w:asciiTheme="majorBidi" w:hAnsiTheme="majorBidi" w:cstheme="majorBidi"/>
          <w:sz w:val="32"/>
          <w:szCs w:val="32"/>
        </w:rPr>
        <w:t>osteocalcin</w:t>
      </w:r>
      <w:proofErr w:type="spellEnd"/>
      <w:r w:rsidRPr="002D16AA">
        <w:rPr>
          <w:rFonts w:asciiTheme="majorBidi" w:hAnsiTheme="majorBidi" w:cstheme="majorBidi"/>
          <w:sz w:val="32"/>
          <w:szCs w:val="32"/>
        </w:rPr>
        <w:t xml:space="preserve"> (OCN) levels. Furthermore, a marked decrease in </w:t>
      </w:r>
      <w:proofErr w:type="spellStart"/>
      <w:r w:rsidRPr="002D16AA">
        <w:rPr>
          <w:rFonts w:asciiTheme="majorBidi" w:hAnsiTheme="majorBidi" w:cstheme="majorBidi"/>
          <w:sz w:val="32"/>
          <w:szCs w:val="32"/>
        </w:rPr>
        <w:t>osteoprotegerin</w:t>
      </w:r>
      <w:proofErr w:type="spellEnd"/>
      <w:r w:rsidRPr="002D16AA">
        <w:rPr>
          <w:rFonts w:asciiTheme="majorBidi" w:hAnsiTheme="majorBidi" w:cstheme="majorBidi"/>
          <w:sz w:val="32"/>
          <w:szCs w:val="32"/>
        </w:rPr>
        <w:t xml:space="preserve"> (OPG), along with a significant increase in receptor activator of NF-</w:t>
      </w:r>
      <w:proofErr w:type="spellStart"/>
      <w:r w:rsidRPr="002D16AA">
        <w:rPr>
          <w:rFonts w:asciiTheme="majorBidi" w:hAnsiTheme="majorBidi" w:cstheme="majorBidi"/>
          <w:sz w:val="32"/>
          <w:szCs w:val="32"/>
        </w:rPr>
        <w:t>kB</w:t>
      </w:r>
      <w:proofErr w:type="spellEnd"/>
      <w:r w:rsidRPr="002D16AA">
        <w:rPr>
          <w:rFonts w:asciiTheme="majorBidi" w:hAnsiTheme="majorBidi" w:cstheme="majorBidi"/>
          <w:sz w:val="32"/>
          <w:szCs w:val="32"/>
        </w:rPr>
        <w:t xml:space="preserve"> (RANK) levels was found in aortic tissue of </w:t>
      </w:r>
      <w:proofErr w:type="spellStart"/>
      <w:r w:rsidRPr="002D16AA">
        <w:rPr>
          <w:rFonts w:asciiTheme="majorBidi" w:hAnsiTheme="majorBidi" w:cstheme="majorBidi"/>
          <w:sz w:val="32"/>
          <w:szCs w:val="32"/>
        </w:rPr>
        <w:t>dyslipidemic</w:t>
      </w:r>
      <w:proofErr w:type="spellEnd"/>
      <w:r w:rsidRPr="002D16AA">
        <w:rPr>
          <w:rFonts w:asciiTheme="majorBidi" w:hAnsiTheme="majorBidi" w:cstheme="majorBidi"/>
          <w:sz w:val="32"/>
          <w:szCs w:val="32"/>
        </w:rPr>
        <w:t xml:space="preserve"> rabbits. 10-DHGD and PTX </w:t>
      </w:r>
      <w:proofErr w:type="spellStart"/>
      <w:r w:rsidRPr="002D16AA">
        <w:rPr>
          <w:rFonts w:asciiTheme="majorBidi" w:hAnsiTheme="majorBidi" w:cstheme="majorBidi"/>
          <w:sz w:val="32"/>
          <w:szCs w:val="32"/>
        </w:rPr>
        <w:t>monotherapy</w:t>
      </w:r>
      <w:proofErr w:type="spellEnd"/>
      <w:r w:rsidRPr="002D16AA">
        <w:rPr>
          <w:rFonts w:asciiTheme="majorBidi" w:hAnsiTheme="majorBidi" w:cstheme="majorBidi"/>
          <w:sz w:val="32"/>
          <w:szCs w:val="32"/>
        </w:rPr>
        <w:t xml:space="preserve"> significantly modulated the afore-mentioned calcification markers and attenuated aortic calcification to greater extent than ATOR. Combination of 10-DHGD and PTX exerted more anti-calcifying effect than either individual drug. Our findings suggested therapeutic roles of 10-DHGD and PTX against aortic calcium deposition in </w:t>
      </w:r>
      <w:proofErr w:type="spellStart"/>
      <w:r w:rsidRPr="002D16AA">
        <w:rPr>
          <w:rFonts w:asciiTheme="majorBidi" w:hAnsiTheme="majorBidi" w:cstheme="majorBidi"/>
          <w:sz w:val="32"/>
          <w:szCs w:val="32"/>
        </w:rPr>
        <w:t>dyslipidemic</w:t>
      </w:r>
      <w:proofErr w:type="spellEnd"/>
      <w:r w:rsidRPr="002D16AA">
        <w:rPr>
          <w:rFonts w:asciiTheme="majorBidi" w:hAnsiTheme="majorBidi" w:cstheme="majorBidi"/>
          <w:sz w:val="32"/>
          <w:szCs w:val="32"/>
        </w:rPr>
        <w:t xml:space="preserve"> rabbits, likely mediated by HDL-raising effect and attenuation of associated inflammation. </w:t>
      </w:r>
      <w:r w:rsidRPr="002D16AA">
        <w:rPr>
          <w:rFonts w:asciiTheme="majorBidi" w:hAnsiTheme="majorBidi" w:cstheme="majorBidi"/>
          <w:sz w:val="32"/>
          <w:szCs w:val="32"/>
        </w:rPr>
        <w:lastRenderedPageBreak/>
        <w:t>Combination of 10-DHGD and PTX may represent a promising therapeutic strategy for aortic calcification associated with atherosclerosis.</w:t>
      </w:r>
    </w:p>
    <w:p w:rsidR="005B712D" w:rsidRPr="002D16AA" w:rsidRDefault="005B712D" w:rsidP="005B712D">
      <w:pPr>
        <w:widowControl w:val="0"/>
        <w:autoSpaceDE w:val="0"/>
        <w:autoSpaceDN w:val="0"/>
        <w:adjustRightInd w:val="0"/>
        <w:spacing w:after="0" w:line="360" w:lineRule="auto"/>
        <w:jc w:val="both"/>
        <w:rPr>
          <w:rFonts w:asciiTheme="majorBidi" w:hAnsiTheme="majorBidi" w:cstheme="majorBidi"/>
          <w:b/>
          <w:bCs/>
          <w:sz w:val="32"/>
          <w:szCs w:val="32"/>
          <w:rtl/>
        </w:rPr>
      </w:pPr>
      <w:r w:rsidRPr="002D16AA">
        <w:rPr>
          <w:rFonts w:asciiTheme="majorBidi" w:hAnsiTheme="majorBidi" w:cstheme="majorBidi"/>
          <w:b/>
          <w:bCs/>
          <w:sz w:val="32"/>
          <w:szCs w:val="32"/>
        </w:rPr>
        <w:t>References</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heme="minorBidi" w:hAnsiTheme="minorBidi" w:cstheme="minorBidi"/>
          <w:sz w:val="32"/>
          <w:szCs w:val="32"/>
          <w:lang w:bidi="ar-EG"/>
        </w:rPr>
        <w:fldChar w:fldCharType="begin"/>
      </w:r>
      <w:r w:rsidRPr="002D16AA">
        <w:rPr>
          <w:rFonts w:asciiTheme="minorBidi" w:hAnsiTheme="minorBidi" w:cstheme="minorBidi"/>
          <w:sz w:val="32"/>
          <w:szCs w:val="32"/>
          <w:lang w:bidi="ar-EG"/>
        </w:rPr>
        <w:instrText xml:space="preserve"> ADDIN EN.REFLIST </w:instrText>
      </w:r>
      <w:r w:rsidRPr="002D16AA">
        <w:rPr>
          <w:rFonts w:asciiTheme="minorBidi" w:hAnsiTheme="minorBidi" w:cstheme="minorBidi"/>
          <w:sz w:val="32"/>
          <w:szCs w:val="32"/>
          <w:lang w:bidi="ar-EG"/>
        </w:rPr>
        <w:fldChar w:fldCharType="separate"/>
      </w:r>
      <w:r w:rsidRPr="002D16AA">
        <w:rPr>
          <w:rFonts w:ascii="Times New Roman" w:hAnsi="Times New Roman"/>
          <w:noProof/>
          <w:sz w:val="32"/>
          <w:szCs w:val="32"/>
          <w:lang w:bidi="ar-EG"/>
        </w:rPr>
        <w:t>1.</w:t>
      </w:r>
      <w:r w:rsidRPr="002D16AA">
        <w:rPr>
          <w:rFonts w:ascii="Times New Roman" w:hAnsi="Times New Roman"/>
          <w:noProof/>
          <w:sz w:val="32"/>
          <w:szCs w:val="32"/>
          <w:lang w:bidi="ar-EG"/>
        </w:rPr>
        <w:tab/>
        <w:t>Demer LL, Tintut Y. Vascular calcification: pathobiology of a multifaceted disease. Circulation 2008; 117: 2938-48</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w:t>
      </w:r>
      <w:r w:rsidRPr="002D16AA">
        <w:rPr>
          <w:rFonts w:ascii="Times New Roman" w:hAnsi="Times New Roman"/>
          <w:noProof/>
          <w:sz w:val="32"/>
          <w:szCs w:val="32"/>
          <w:lang w:bidi="ar-EG"/>
        </w:rPr>
        <w:tab/>
        <w:t>Kurabayashi M. [Vascular Calcification - Pathological Mechanism and Clinical Application: Role of vascular smooth muscle cells in vascular calcification]. Clin Calcium 2015; 25: 661-9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w:t>
      </w:r>
      <w:r w:rsidRPr="002D16AA">
        <w:rPr>
          <w:rFonts w:ascii="Times New Roman" w:hAnsi="Times New Roman"/>
          <w:noProof/>
          <w:sz w:val="32"/>
          <w:szCs w:val="32"/>
          <w:lang w:bidi="ar-EG"/>
        </w:rPr>
        <w:tab/>
        <w:t>Speer MY, Yang HY, Brabb T, et al. Smooth muscle cells give rise to osteochondrogenic precursors and chondrocytes in calcifying arteries. Circ Res 2009; 104: 733-41</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w:t>
      </w:r>
      <w:r w:rsidRPr="002D16AA">
        <w:rPr>
          <w:rFonts w:ascii="Times New Roman" w:hAnsi="Times New Roman"/>
          <w:noProof/>
          <w:sz w:val="32"/>
          <w:szCs w:val="32"/>
          <w:lang w:bidi="ar-EG"/>
        </w:rPr>
        <w:tab/>
        <w:t>Zhou S, Fang X, Xin H, et al. Osteoprotegerin inhibits calcification of vascular smooth muscle cell via down regulation of the Notch1-RBP-Jkappa/Msx2 signaling pathway. PLoS One 2013; 8: e68987</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5.</w:t>
      </w:r>
      <w:r w:rsidRPr="002D16AA">
        <w:rPr>
          <w:rFonts w:ascii="Times New Roman" w:hAnsi="Times New Roman"/>
          <w:noProof/>
          <w:sz w:val="32"/>
          <w:szCs w:val="32"/>
          <w:lang w:bidi="ar-EG"/>
        </w:rPr>
        <w:tab/>
        <w:t>Sage AP, Tintut Y, Demer LL. Regulatory mechanisms in vascular calcification. Nat Rev Cardiol 2010; 7: 528-36</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6.</w:t>
      </w:r>
      <w:r w:rsidRPr="002D16AA">
        <w:rPr>
          <w:rFonts w:ascii="Times New Roman" w:hAnsi="Times New Roman"/>
          <w:noProof/>
          <w:sz w:val="32"/>
          <w:szCs w:val="32"/>
          <w:lang w:bidi="ar-EG"/>
        </w:rPr>
        <w:tab/>
        <w:t>Rajamannan NM, Subramaniam M, Springett M, et al. Atorvastatin inhibits hypercholesterolemia-induced cellular proliferation and bone matrix production in the rabbit aortic valve. Circulation 2002; 105: 2660-5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7.</w:t>
      </w:r>
      <w:r w:rsidRPr="002D16AA">
        <w:rPr>
          <w:rFonts w:ascii="Times New Roman" w:hAnsi="Times New Roman"/>
          <w:noProof/>
          <w:sz w:val="32"/>
          <w:szCs w:val="32"/>
          <w:lang w:bidi="ar-EG"/>
        </w:rPr>
        <w:tab/>
        <w:t>Kizu A, Shioi A, Jono S, et al. Statins inhibit in vitro calcification of human vascular smooth muscle cells induced by inflammatory mediators. J Cell Biochem 2004; 93: 1011-9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lastRenderedPageBreak/>
        <w:t>8.</w:t>
      </w:r>
      <w:r w:rsidRPr="002D16AA">
        <w:rPr>
          <w:rFonts w:ascii="Times New Roman" w:hAnsi="Times New Roman"/>
          <w:noProof/>
          <w:sz w:val="32"/>
          <w:szCs w:val="32"/>
          <w:lang w:bidi="ar-EG"/>
        </w:rPr>
        <w:tab/>
        <w:t>Rajamannan NM, Subramaniam M, Caira F, Stock SR, Spelsberg TC. Atorvastatin inhibits hypercholesterolemia-induced calcification in the aortic valves via the Lrp5 receptor pathway. Circulation 2005; 112: I229-34</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9.</w:t>
      </w:r>
      <w:r w:rsidRPr="002D16AA">
        <w:rPr>
          <w:rFonts w:ascii="Times New Roman" w:hAnsi="Times New Roman"/>
          <w:noProof/>
          <w:sz w:val="32"/>
          <w:szCs w:val="32"/>
          <w:lang w:bidi="ar-EG"/>
        </w:rPr>
        <w:tab/>
        <w:t>Rajamannan NM, Subramaniam M, Stock SR, et al. Atorvastatin inhibits calcification and enhances nitric oxide synthase production in the hypercholesterolaemic aortic valve. Heart 2005; 91: 806-10</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10.</w:t>
      </w:r>
      <w:r w:rsidRPr="002D16AA">
        <w:rPr>
          <w:rFonts w:ascii="Times New Roman" w:hAnsi="Times New Roman"/>
          <w:noProof/>
          <w:sz w:val="32"/>
          <w:szCs w:val="32"/>
          <w:lang w:bidi="ar-EG"/>
        </w:rPr>
        <w:tab/>
        <w:t>Rossebo AB, Pedersen TR, Boman K, et al. Intensive lipid lowering with simvastatin and ezetimibe in aortic stenosis. N Engl J Med 2008; 359: 1343-56</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11.</w:t>
      </w:r>
      <w:r w:rsidRPr="002D16AA">
        <w:rPr>
          <w:rFonts w:ascii="Times New Roman" w:hAnsi="Times New Roman"/>
          <w:noProof/>
          <w:sz w:val="32"/>
          <w:szCs w:val="32"/>
          <w:lang w:bidi="ar-EG"/>
        </w:rPr>
        <w:tab/>
        <w:t>Arad Y, Spadaro LA, Roth M, Newstein D, Guerci AD. Treatment of asymptomatic adults with elevated coronary calcium scores with atorvastatin, vitamin C, and vitamin E: the St. Francis Heart Study randomized clinical trial. J Am Coll Cardiol 2005; 46: 166-72</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12.</w:t>
      </w:r>
      <w:r w:rsidRPr="002D16AA">
        <w:rPr>
          <w:rFonts w:ascii="Times New Roman" w:hAnsi="Times New Roman"/>
          <w:noProof/>
          <w:sz w:val="32"/>
          <w:szCs w:val="32"/>
          <w:lang w:bidi="ar-EG"/>
        </w:rPr>
        <w:tab/>
        <w:t>Lommi JI, Kovanen PT, Jauhiainen M, et al. High-density lipoproteins (HDL) are present in stenotic aortic valves and may interfere with the mechanisms of valvular calcification. Atherosclerosis 2011; 219: 538-44</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13.</w:t>
      </w:r>
      <w:r w:rsidRPr="002D16AA">
        <w:rPr>
          <w:rFonts w:ascii="Times New Roman" w:hAnsi="Times New Roman"/>
          <w:noProof/>
          <w:sz w:val="32"/>
          <w:szCs w:val="32"/>
          <w:lang w:bidi="ar-EG"/>
        </w:rPr>
        <w:tab/>
        <w:t>Elseweidy MM, Abdallah FR, Younis NN, Aldohmy S, Kassem HM. 10-Dehydrogingerdione raises HDL-cholesterol through a CETP inhibition and wards off oxidation and inflammation in dyslipidemic rabbits. Atherosclerosis 2013; 231: 334-40</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14.</w:t>
      </w:r>
      <w:r w:rsidRPr="002D16AA">
        <w:rPr>
          <w:rFonts w:ascii="Times New Roman" w:hAnsi="Times New Roman"/>
          <w:noProof/>
          <w:sz w:val="32"/>
          <w:szCs w:val="32"/>
          <w:lang w:bidi="ar-EG"/>
        </w:rPr>
        <w:tab/>
        <w:t>Hjortnaes J, Butcher J, Figueiredo JL, et al. Arterial and aortic valve calcification inversely correlates with osteoporotic bone remodelling: a role for inflammation. Eur Heart J 2010; 31: 1975-84</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lastRenderedPageBreak/>
        <w:t>15.</w:t>
      </w:r>
      <w:r w:rsidRPr="002D16AA">
        <w:rPr>
          <w:rFonts w:ascii="Times New Roman" w:hAnsi="Times New Roman"/>
          <w:noProof/>
          <w:sz w:val="32"/>
          <w:szCs w:val="32"/>
          <w:lang w:bidi="ar-EG"/>
        </w:rPr>
        <w:tab/>
        <w:t>Sonkin PL, Chen LE, Seaber AV, Hatchell DL. Vasodilator action of pentoxifylline on microcirculation of rat cremaster muscle. Angiology 1992; 43: 462-9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16.</w:t>
      </w:r>
      <w:r w:rsidRPr="002D16AA">
        <w:rPr>
          <w:rFonts w:ascii="Times New Roman" w:hAnsi="Times New Roman"/>
          <w:noProof/>
          <w:sz w:val="32"/>
          <w:szCs w:val="32"/>
          <w:lang w:bidi="ar-EG"/>
        </w:rPr>
        <w:tab/>
        <w:t>Bacher A, Eggensperger E, Koppensteiner R, Mayer N, Klimscha W. Pentoxifylline attenuates the increase in whole blood viscosity after transfusion. Acta Anaesthesiol Scand 2005; 49: 41-6</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17.</w:t>
      </w:r>
      <w:r w:rsidRPr="002D16AA">
        <w:rPr>
          <w:rFonts w:ascii="Times New Roman" w:hAnsi="Times New Roman"/>
          <w:noProof/>
          <w:sz w:val="32"/>
          <w:szCs w:val="32"/>
          <w:lang w:bidi="ar-EG"/>
        </w:rPr>
        <w:tab/>
        <w:t>McCarty MF, O'Keefe JH, DiNicolantonio JJ. Pentoxifylline for vascular health: a brief review of the literature. Open Heart 2016; 3: e000365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18.</w:t>
      </w:r>
      <w:r w:rsidRPr="002D16AA">
        <w:rPr>
          <w:rFonts w:ascii="Times New Roman" w:hAnsi="Times New Roman"/>
          <w:noProof/>
          <w:sz w:val="32"/>
          <w:szCs w:val="32"/>
          <w:lang w:bidi="ar-EG"/>
        </w:rPr>
        <w:tab/>
        <w:t>Choi S-Y, Park G-S, Lee SY, Kim JY, Kim YK. The conformation and CETP inhibitory activity of [10]-dehydrogingerdione isolated from Zingiber officinale. Archives of pharmacal research 2011; 34: 727-31</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19.</w:t>
      </w:r>
      <w:r w:rsidRPr="002D16AA">
        <w:rPr>
          <w:rFonts w:ascii="Times New Roman" w:hAnsi="Times New Roman"/>
          <w:noProof/>
          <w:sz w:val="32"/>
          <w:szCs w:val="32"/>
          <w:lang w:bidi="ar-EG"/>
        </w:rPr>
        <w:tab/>
        <w:t>Rajamannan NM, Subramaniam M, Stock S, et al. Atorvastatin inhibits calcification and enhances nitric oxide synthase production in the hypercholesterolaemic aortic valve. Heart 2005; 91: 806-10</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20.</w:t>
      </w:r>
      <w:r w:rsidRPr="002D16AA">
        <w:rPr>
          <w:rFonts w:ascii="Times New Roman" w:hAnsi="Times New Roman"/>
          <w:noProof/>
          <w:sz w:val="32"/>
          <w:szCs w:val="32"/>
          <w:lang w:bidi="ar-EG"/>
        </w:rPr>
        <w:tab/>
        <w:t>Friedewald WT, Levy RI, Fredrickson DS. Estimation of the concentration of low-density lipoprotein cholesterol in plasma, without use of the preparative ultracentrifuge. Clin Chem 1972; 18: 499-502</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21.</w:t>
      </w:r>
      <w:r w:rsidRPr="002D16AA">
        <w:rPr>
          <w:rFonts w:ascii="Times New Roman" w:hAnsi="Times New Roman"/>
          <w:noProof/>
          <w:sz w:val="32"/>
          <w:szCs w:val="32"/>
          <w:lang w:bidi="ar-EG"/>
        </w:rPr>
        <w:tab/>
        <w:t>Shi S-R, Chaiwun B, Young L, Cote R, Taylor C. Antigen retrieval technique utilizing citrate buffer or urea solution for immunohistochemical demonstration of androgen receptor in formalin-fixed paraffin sections. Journal of Histochemistry &amp; Cytochemistry 1993; 41: 1599-604</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lastRenderedPageBreak/>
        <w:t>22.</w:t>
      </w:r>
      <w:r w:rsidRPr="002D16AA">
        <w:rPr>
          <w:rFonts w:ascii="Times New Roman" w:hAnsi="Times New Roman"/>
          <w:noProof/>
          <w:sz w:val="32"/>
          <w:szCs w:val="32"/>
          <w:lang w:bidi="ar-EG"/>
        </w:rPr>
        <w:tab/>
        <w:t>Elseweidy MM, Zein N, Aldhamy SE, Elsawy MM, Saeid SA. Policosanol as a new inhibitor candidate for vascular calcification in diabetic hyperlipidemic rats. Exp Biol Med (Maywood) 2016; 241: 1943-9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23.</w:t>
      </w:r>
      <w:r w:rsidRPr="002D16AA">
        <w:rPr>
          <w:rFonts w:ascii="Times New Roman" w:hAnsi="Times New Roman"/>
          <w:noProof/>
          <w:sz w:val="32"/>
          <w:szCs w:val="32"/>
          <w:lang w:bidi="ar-EG"/>
        </w:rPr>
        <w:tab/>
        <w:t>Makkena B, Salti H, Subramaniam M, et al. Atorvastatin decreases cellular proliferation and bone matrix expression in the hypercholesterolemic mitral valve. J Am Coll Cardiol 2005; 45: 631-3</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24.</w:t>
      </w:r>
      <w:r w:rsidRPr="002D16AA">
        <w:rPr>
          <w:rFonts w:ascii="Times New Roman" w:hAnsi="Times New Roman"/>
          <w:noProof/>
          <w:sz w:val="32"/>
          <w:szCs w:val="32"/>
          <w:lang w:bidi="ar-EG"/>
        </w:rPr>
        <w:tab/>
        <w:t>Yang X, Meng X, Su X, et al. Bone morphogenic protein 2 induces Runx2 and osteopontin expression in human aortic valve interstitial cells: role of Smad1 and extracellular signal-regulated kinase 1/2. J Thorac Cardiovasc Surg 2009; 138: 1008-15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25.</w:t>
      </w:r>
      <w:r w:rsidRPr="002D16AA">
        <w:rPr>
          <w:rFonts w:ascii="Times New Roman" w:hAnsi="Times New Roman"/>
          <w:noProof/>
          <w:sz w:val="32"/>
          <w:szCs w:val="32"/>
          <w:lang w:bidi="ar-EG"/>
        </w:rPr>
        <w:tab/>
        <w:t>Bostrom K, Watson KE, Horn S, et al. Bone morphogenetic protein expression in human atherosclerotic lesions. J Clin Invest 1993; 91: 1800-9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26.</w:t>
      </w:r>
      <w:r w:rsidRPr="002D16AA">
        <w:rPr>
          <w:rFonts w:ascii="Times New Roman" w:hAnsi="Times New Roman"/>
          <w:noProof/>
          <w:sz w:val="32"/>
          <w:szCs w:val="32"/>
          <w:lang w:bidi="ar-EG"/>
        </w:rPr>
        <w:tab/>
        <w:t>Rong S, Zhao X, Jin X, et al. Vascular calcification in chronic kidney disease is induced by bone morphogenetic protein-2 via a mechanism involving the Wnt/beta-catenin pathway. Cell Physiol Biochem 2014; 34: 2049-60</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27.</w:t>
      </w:r>
      <w:r w:rsidRPr="002D16AA">
        <w:rPr>
          <w:rFonts w:ascii="Times New Roman" w:hAnsi="Times New Roman"/>
          <w:noProof/>
          <w:sz w:val="32"/>
          <w:szCs w:val="32"/>
          <w:lang w:bidi="ar-EG"/>
        </w:rPr>
        <w:tab/>
        <w:t>El-Seweidy MM, Asker Mel S, Eldahmy SI, Atteia HH, Abdallah MA. Haemostatic risk factors in dyslipidemic rabbits: role of 10-dehydrogingerdione as a new hypolipemic agent. J Thromb Thrombolysis 2015; 39: 196-202</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28.</w:t>
      </w:r>
      <w:r w:rsidRPr="002D16AA">
        <w:rPr>
          <w:rFonts w:ascii="Times New Roman" w:hAnsi="Times New Roman"/>
          <w:noProof/>
          <w:sz w:val="32"/>
          <w:szCs w:val="32"/>
          <w:lang w:bidi="ar-EG"/>
        </w:rPr>
        <w:tab/>
        <w:t>Yao Y, Shao ES, Jumabay M, et al. High-density lipoproteins affect endothelial BMP-signaling by modulating expression of the activin-like kinase receptor 1 and 2. Arterioscler Thromb Vasc Biol 2008; 28: 2266-74</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lastRenderedPageBreak/>
        <w:t>29.</w:t>
      </w:r>
      <w:r w:rsidRPr="002D16AA">
        <w:rPr>
          <w:rFonts w:ascii="Times New Roman" w:hAnsi="Times New Roman"/>
          <w:noProof/>
          <w:sz w:val="32"/>
          <w:szCs w:val="32"/>
          <w:lang w:bidi="ar-EG"/>
        </w:rPr>
        <w:tab/>
        <w:t>Parhami F, Basseri B, Hwang J, Tintut Y, Demer LL. High-density lipoprotein regulates calcification of vascular cells. Circ Res 2002; 91: 570-6</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30.</w:t>
      </w:r>
      <w:r w:rsidRPr="002D16AA">
        <w:rPr>
          <w:rFonts w:ascii="Times New Roman" w:hAnsi="Times New Roman"/>
          <w:noProof/>
          <w:sz w:val="32"/>
          <w:szCs w:val="32"/>
          <w:lang w:bidi="ar-EG"/>
        </w:rPr>
        <w:tab/>
        <w:t>Bucay N, Sarosi I, Dunstan CR, et al. osteoprotegerin-deficient mice develop early onset osteoporosis and arterial calcification. Genes Dev 1998; 12: 1260-8</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31.</w:t>
      </w:r>
      <w:r w:rsidRPr="002D16AA">
        <w:rPr>
          <w:rFonts w:ascii="Times New Roman" w:hAnsi="Times New Roman"/>
          <w:noProof/>
          <w:sz w:val="32"/>
          <w:szCs w:val="32"/>
          <w:lang w:bidi="ar-EG"/>
        </w:rPr>
        <w:tab/>
        <w:t>Price PA, June HH, Buckley JR, Williamson MK. Osteoprotegerin inhibits artery calcification induced by warfarin and by vitamin D. Arterioscler Thromb Vasc Biol 2001; 21: 1610-6</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32.</w:t>
      </w:r>
      <w:r w:rsidRPr="002D16AA">
        <w:rPr>
          <w:rFonts w:ascii="Times New Roman" w:hAnsi="Times New Roman"/>
          <w:noProof/>
          <w:sz w:val="32"/>
          <w:szCs w:val="32"/>
          <w:lang w:bidi="ar-EG"/>
        </w:rPr>
        <w:tab/>
        <w:t>Corsini A, Bellosta S, Baetta R, et al. New insights into the pharmacodynamic and pharmacokinetic properties of statins. Pharmacol Ther 1999; 84: 413-28</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33.</w:t>
      </w:r>
      <w:r w:rsidRPr="002D16AA">
        <w:rPr>
          <w:rFonts w:ascii="Times New Roman" w:hAnsi="Times New Roman"/>
          <w:noProof/>
          <w:sz w:val="32"/>
          <w:szCs w:val="32"/>
          <w:lang w:bidi="ar-EG"/>
        </w:rPr>
        <w:tab/>
        <w:t>Chen Z, Qureshi AR, Parini P, et al. Does statins promote vascular calcification in chronic kidney disease? Eur J Clin Invest 2017; 47: 137-48</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34.</w:t>
      </w:r>
      <w:r w:rsidRPr="002D16AA">
        <w:rPr>
          <w:rFonts w:ascii="Times New Roman" w:hAnsi="Times New Roman"/>
          <w:noProof/>
          <w:sz w:val="32"/>
          <w:szCs w:val="32"/>
          <w:lang w:bidi="ar-EG"/>
        </w:rPr>
        <w:tab/>
        <w:t>Shao JS, Cheng SL, Sadhu J, Towler DA. Inflammation and the osteogenic regulation of vascular calcification: a review and perspective. Hypertension 2010; 55: 579-92</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35.</w:t>
      </w:r>
      <w:r w:rsidRPr="002D16AA">
        <w:rPr>
          <w:rFonts w:ascii="Times New Roman" w:hAnsi="Times New Roman"/>
          <w:noProof/>
          <w:sz w:val="32"/>
          <w:szCs w:val="32"/>
          <w:lang w:bidi="ar-EG"/>
        </w:rPr>
        <w:tab/>
        <w:t>Maiti R, Agrawal NK, Dash D, Pandey BL. Effect of Pentoxifylline on inflammatory burden, oxidative stress and platelet aggregability in hypertensive type 2 diabetes mellitus patients. Vascul Pharmacol 2007; 47: 118-24</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36.</w:t>
      </w:r>
      <w:r w:rsidRPr="002D16AA">
        <w:rPr>
          <w:rFonts w:ascii="Times New Roman" w:hAnsi="Times New Roman"/>
          <w:noProof/>
          <w:sz w:val="32"/>
          <w:szCs w:val="32"/>
          <w:lang w:bidi="ar-EG"/>
        </w:rPr>
        <w:tab/>
        <w:t>Fernandes JL, de Oliveira RT, Mamoni RL, et al. Pentoxifylline reduces pro-inflammatory and increases anti-inflammatory activity in patients with coronary artery disease--a randomized placebo-controlled study. Atherosclerosis 2008; 196: 434-42</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lastRenderedPageBreak/>
        <w:t>37.</w:t>
      </w:r>
      <w:r w:rsidRPr="002D16AA">
        <w:rPr>
          <w:rFonts w:ascii="Times New Roman" w:hAnsi="Times New Roman"/>
          <w:noProof/>
          <w:sz w:val="32"/>
          <w:szCs w:val="32"/>
          <w:lang w:bidi="ar-EG"/>
        </w:rPr>
        <w:tab/>
        <w:t>de Campos T, Deree J, Martins JO, et al. Pentoxifylline attenuates pulmonary inflammation and neutrophil activation in experimental acute pancreatitis. Pancreas 2008; 37: 42-9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38.</w:t>
      </w:r>
      <w:r w:rsidRPr="002D16AA">
        <w:rPr>
          <w:rFonts w:ascii="Times New Roman" w:hAnsi="Times New Roman"/>
          <w:noProof/>
          <w:sz w:val="32"/>
          <w:szCs w:val="32"/>
          <w:lang w:bidi="ar-EG"/>
        </w:rPr>
        <w:tab/>
        <w:t>Saad SY, Najjar TA, Alashari M. Role of non-selective adenosine receptor blockade and phosphodiesterase inhibition in cisplatin-induced nephrogonadal toxicity in rats. Clin Exp Pharmacol Physiol 2004; 31: 862-7</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39.</w:t>
      </w:r>
      <w:r w:rsidRPr="002D16AA">
        <w:rPr>
          <w:rFonts w:ascii="Times New Roman" w:hAnsi="Times New Roman"/>
          <w:noProof/>
          <w:sz w:val="32"/>
          <w:szCs w:val="32"/>
          <w:lang w:bidi="ar-EG"/>
        </w:rPr>
        <w:tab/>
        <w:t>Smith JF, Shindel AW, Huang YC, et al. Pentoxifylline treatment and penile calcifications in men with Peyronie's disease. Asian J Androl 2011; 13: 322-5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40.</w:t>
      </w:r>
      <w:r w:rsidRPr="002D16AA">
        <w:rPr>
          <w:rFonts w:ascii="Times New Roman" w:hAnsi="Times New Roman"/>
          <w:noProof/>
          <w:sz w:val="32"/>
          <w:szCs w:val="32"/>
          <w:lang w:bidi="ar-EG"/>
        </w:rPr>
        <w:tab/>
        <w:t>Al-Aly Z. Arterial calcification: a tumor necrosis factor-alpha mediated vascular Wnt-opathy. Transl Res 2008; 151: 233-9</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41.</w:t>
      </w:r>
      <w:r w:rsidRPr="002D16AA">
        <w:rPr>
          <w:rFonts w:ascii="Times New Roman" w:hAnsi="Times New Roman"/>
          <w:noProof/>
          <w:sz w:val="32"/>
          <w:szCs w:val="32"/>
          <w:lang w:bidi="ar-EG"/>
        </w:rPr>
        <w:tab/>
        <w:t>Morony S, Tintut Y, Zhang Z, et al. Osteoprotegerin inhibits vascular calcification without affecting atherosclerosis in ldlr(-/-) mice. Circulation 2008; 117: 411-20</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42.</w:t>
      </w:r>
      <w:r w:rsidRPr="002D16AA">
        <w:rPr>
          <w:rFonts w:ascii="Times New Roman" w:hAnsi="Times New Roman"/>
          <w:noProof/>
          <w:sz w:val="32"/>
          <w:szCs w:val="32"/>
          <w:lang w:bidi="ar-EG"/>
        </w:rPr>
        <w:tab/>
        <w:t>Weiss RM, Lund DD, Chu Y, et al. Osteoprotegerin inhibits aortic valve calcification and preserves valve function in hypercholesterolemic mice. PLoS One 2013; 8: e65201</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43.</w:t>
      </w:r>
      <w:r w:rsidRPr="002D16AA">
        <w:rPr>
          <w:rFonts w:ascii="Times New Roman" w:hAnsi="Times New Roman"/>
          <w:noProof/>
          <w:sz w:val="32"/>
          <w:szCs w:val="32"/>
          <w:lang w:bidi="ar-EG"/>
        </w:rPr>
        <w:tab/>
        <w:t>Popa C, Netea MG, van Riel PL, van der Meer JW, Stalenhoef AF. The role of TNF-alpha in chronic inflammatory conditions, intermediary metabolism, and cardiovascular risk. J Lipid Res 2007; 48: 751-62</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44.</w:t>
      </w:r>
      <w:r w:rsidRPr="002D16AA">
        <w:rPr>
          <w:rFonts w:ascii="Times New Roman" w:hAnsi="Times New Roman"/>
          <w:noProof/>
          <w:sz w:val="32"/>
          <w:szCs w:val="32"/>
          <w:lang w:bidi="ar-EG"/>
        </w:rPr>
        <w:tab/>
        <w:t>Popa C, Netea MG, Radstake T, et al. Influence of anti-tumour necrosis factor therapy on cardiovascular risk factors in patients with active rheumatoid arthritis. Ann Rheum Dis 2005; 64: 303-5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lastRenderedPageBreak/>
        <w:t>45.</w:t>
      </w:r>
      <w:r w:rsidRPr="002D16AA">
        <w:rPr>
          <w:rFonts w:ascii="Times New Roman" w:hAnsi="Times New Roman"/>
          <w:noProof/>
          <w:sz w:val="32"/>
          <w:szCs w:val="32"/>
          <w:lang w:bidi="ar-EG"/>
        </w:rPr>
        <w:tab/>
        <w:t>Vis M, Nurmohamed MT, Wolbink G, et al. Short term effects of infliximab on the lipid profile in patients with rheumatoid arthritis. J Rheumatol 2005; 32: 252-5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46.</w:t>
      </w:r>
      <w:r w:rsidRPr="002D16AA">
        <w:rPr>
          <w:rFonts w:ascii="Times New Roman" w:hAnsi="Times New Roman"/>
          <w:noProof/>
          <w:sz w:val="32"/>
          <w:szCs w:val="32"/>
          <w:lang w:bidi="ar-EG"/>
        </w:rPr>
        <w:tab/>
        <w:t>Ward A, Clissold SP. Pentoxifylline. A review of its pharmacodynamic and pharmacokinetic properties, and its therapeutic efficacy. Drugs 1987; 34: 50-97</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47.</w:t>
      </w:r>
      <w:r w:rsidRPr="002D16AA">
        <w:rPr>
          <w:rFonts w:ascii="Times New Roman" w:hAnsi="Times New Roman"/>
          <w:noProof/>
          <w:sz w:val="32"/>
          <w:szCs w:val="32"/>
          <w:lang w:bidi="ar-EG"/>
        </w:rPr>
        <w:tab/>
        <w:t>Tarhan OR, Barut I, Sutcu R, Akdeniz Y, Akturk O. Pentoxifylline, a methyl xanthine derivative, reduces peritoneal adhesions and increases peritoneal fibrinolysis in rats. Tohoku J Exp Med 2006; 209: 249-55</w:t>
      </w:r>
    </w:p>
    <w:p w:rsidR="005B712D" w:rsidRPr="002D16AA" w:rsidRDefault="005B712D" w:rsidP="005B712D">
      <w:pPr>
        <w:spacing w:after="480" w:line="240" w:lineRule="auto"/>
        <w:rPr>
          <w:rFonts w:ascii="Times New Roman" w:hAnsi="Times New Roman"/>
          <w:noProof/>
          <w:sz w:val="32"/>
          <w:szCs w:val="32"/>
          <w:lang w:bidi="ar-EG"/>
        </w:rPr>
      </w:pPr>
      <w:r w:rsidRPr="002D16AA">
        <w:rPr>
          <w:rFonts w:ascii="Times New Roman" w:hAnsi="Times New Roman"/>
          <w:noProof/>
          <w:sz w:val="32"/>
          <w:szCs w:val="32"/>
          <w:lang w:bidi="ar-EG"/>
        </w:rPr>
        <w:t>48.</w:t>
      </w:r>
      <w:r w:rsidRPr="002D16AA">
        <w:rPr>
          <w:rFonts w:ascii="Times New Roman" w:hAnsi="Times New Roman"/>
          <w:noProof/>
          <w:sz w:val="32"/>
          <w:szCs w:val="32"/>
          <w:lang w:bidi="ar-EG"/>
        </w:rPr>
        <w:tab/>
        <w:t>Bielak LF, Klee GG, Sheedy PF, 2nd, et al. Association of fibrinogen with quantity of coronary artery calcification measured by electron beam computed tomography. Arterioscler Thromb Vasc Biol 2000; 20: 2167-71</w:t>
      </w:r>
    </w:p>
    <w:p w:rsidR="005B712D" w:rsidRPr="002D16AA" w:rsidRDefault="005B712D" w:rsidP="005B712D">
      <w:pPr>
        <w:spacing w:after="0" w:line="240" w:lineRule="auto"/>
        <w:rPr>
          <w:rFonts w:ascii="Times New Roman" w:hAnsi="Times New Roman"/>
          <w:noProof/>
          <w:sz w:val="32"/>
          <w:szCs w:val="32"/>
          <w:lang w:bidi="ar-EG"/>
        </w:rPr>
      </w:pPr>
      <w:r w:rsidRPr="002D16AA">
        <w:rPr>
          <w:rFonts w:ascii="Times New Roman" w:hAnsi="Times New Roman"/>
          <w:noProof/>
          <w:sz w:val="32"/>
          <w:szCs w:val="32"/>
          <w:lang w:bidi="ar-EG"/>
        </w:rPr>
        <w:t>49.</w:t>
      </w:r>
      <w:r w:rsidRPr="002D16AA">
        <w:rPr>
          <w:rFonts w:ascii="Times New Roman" w:hAnsi="Times New Roman"/>
          <w:noProof/>
          <w:sz w:val="32"/>
          <w:szCs w:val="32"/>
          <w:lang w:bidi="ar-EG"/>
        </w:rPr>
        <w:tab/>
        <w:t>Leopold JA. Cellular mechanisms of aortic valve calcification. Circ Cardiovasc Interv 2012; 5: 605-14</w:t>
      </w:r>
    </w:p>
    <w:p w:rsidR="005B712D" w:rsidRPr="002D16AA" w:rsidRDefault="005B712D" w:rsidP="005B712D">
      <w:pPr>
        <w:spacing w:after="0" w:line="240" w:lineRule="auto"/>
        <w:rPr>
          <w:rFonts w:ascii="Times New Roman" w:hAnsi="Times New Roman"/>
          <w:noProof/>
          <w:sz w:val="32"/>
          <w:szCs w:val="32"/>
          <w:lang w:bidi="ar-EG"/>
        </w:rPr>
      </w:pPr>
    </w:p>
    <w:p w:rsidR="005B712D" w:rsidRPr="002D16AA" w:rsidRDefault="005B712D" w:rsidP="005B712D">
      <w:pPr>
        <w:spacing w:after="0" w:line="240" w:lineRule="auto"/>
        <w:rPr>
          <w:rFonts w:ascii="Times New Roman" w:hAnsi="Times New Roman"/>
          <w:noProof/>
          <w:sz w:val="32"/>
          <w:szCs w:val="32"/>
          <w:lang w:bidi="ar-EG"/>
        </w:rPr>
      </w:pPr>
    </w:p>
    <w:p w:rsidR="005B712D" w:rsidRPr="002D16AA" w:rsidRDefault="005B712D" w:rsidP="005B712D">
      <w:pPr>
        <w:spacing w:after="0" w:line="240" w:lineRule="auto"/>
        <w:rPr>
          <w:rFonts w:ascii="Times New Roman" w:hAnsi="Times New Roman"/>
          <w:noProof/>
          <w:sz w:val="32"/>
          <w:szCs w:val="32"/>
          <w:lang w:bidi="ar-EG"/>
        </w:rPr>
      </w:pPr>
      <w:r w:rsidRPr="002D16AA">
        <w:rPr>
          <w:rFonts w:ascii="Times New Roman" w:hAnsi="Times New Roman"/>
          <w:noProof/>
          <w:sz w:val="32"/>
          <w:szCs w:val="32"/>
          <w:lang w:bidi="ar-EG"/>
        </w:rPr>
        <w:t xml:space="preserve">BIOGRAPHY </w:t>
      </w:r>
    </w:p>
    <w:p w:rsidR="005B712D" w:rsidRPr="002D16AA" w:rsidRDefault="005B712D" w:rsidP="005B712D">
      <w:pPr>
        <w:spacing w:after="0" w:line="240" w:lineRule="auto"/>
        <w:rPr>
          <w:rFonts w:ascii="Times New Roman" w:hAnsi="Times New Roman"/>
          <w:noProof/>
          <w:sz w:val="32"/>
          <w:szCs w:val="32"/>
          <w:lang w:bidi="ar-EG"/>
        </w:rPr>
      </w:pPr>
    </w:p>
    <w:p w:rsidR="005B712D" w:rsidRPr="002D16AA" w:rsidRDefault="005B712D" w:rsidP="005B712D">
      <w:pPr>
        <w:spacing w:after="0" w:line="240" w:lineRule="auto"/>
        <w:rPr>
          <w:rFonts w:ascii="Times New Roman" w:hAnsi="Times New Roman"/>
          <w:noProof/>
          <w:sz w:val="32"/>
          <w:szCs w:val="32"/>
          <w:lang w:bidi="ar-EG"/>
        </w:rPr>
      </w:pPr>
      <w:r w:rsidRPr="002D16AA">
        <w:rPr>
          <w:rFonts w:ascii="Times New Roman" w:hAnsi="Times New Roman"/>
          <w:noProof/>
          <w:sz w:val="32"/>
          <w:szCs w:val="32"/>
          <w:lang w:bidi="ar-EG"/>
        </w:rPr>
        <w:t>Dr. Mohamed  Elseweidy has completed his PhD  at the age 35 years from faculty of pharmacy -cairo university and his postdoctrat studies  from Medical college of Georgia- Augusta GA</w:t>
      </w:r>
      <w:r w:rsidR="002D16AA">
        <w:rPr>
          <w:rFonts w:ascii="Times New Roman" w:hAnsi="Times New Roman"/>
          <w:noProof/>
          <w:sz w:val="32"/>
          <w:szCs w:val="32"/>
          <w:lang w:bidi="ar-EG"/>
        </w:rPr>
        <w:t>-</w:t>
      </w:r>
      <w:r w:rsidRPr="002D16AA">
        <w:rPr>
          <w:rFonts w:ascii="Times New Roman" w:hAnsi="Times New Roman"/>
          <w:noProof/>
          <w:sz w:val="32"/>
          <w:szCs w:val="32"/>
          <w:lang w:bidi="ar-EG"/>
        </w:rPr>
        <w:t xml:space="preserve"> USA.</w:t>
      </w:r>
    </w:p>
    <w:p w:rsidR="005B712D" w:rsidRPr="002D16AA" w:rsidRDefault="005B712D" w:rsidP="002D16AA">
      <w:pPr>
        <w:spacing w:after="0" w:line="240" w:lineRule="auto"/>
        <w:rPr>
          <w:rFonts w:ascii="Times New Roman" w:hAnsi="Times New Roman"/>
          <w:noProof/>
          <w:sz w:val="32"/>
          <w:szCs w:val="32"/>
          <w:lang w:bidi="ar-EG"/>
        </w:rPr>
      </w:pPr>
      <w:r w:rsidRPr="002D16AA">
        <w:rPr>
          <w:rFonts w:ascii="Times New Roman" w:hAnsi="Times New Roman"/>
          <w:noProof/>
          <w:sz w:val="32"/>
          <w:szCs w:val="32"/>
          <w:lang w:bidi="ar-EG"/>
        </w:rPr>
        <w:t xml:space="preserve">He is Exchairman of the Department </w:t>
      </w:r>
      <w:r w:rsidR="002D16AA" w:rsidRPr="002D16AA">
        <w:rPr>
          <w:rFonts w:ascii="Times New Roman" w:hAnsi="Times New Roman"/>
          <w:noProof/>
          <w:sz w:val="32"/>
          <w:szCs w:val="32"/>
          <w:lang w:bidi="ar-EG"/>
        </w:rPr>
        <w:t>. H</w:t>
      </w:r>
      <w:r w:rsidR="002D16AA">
        <w:rPr>
          <w:rFonts w:ascii="Times New Roman" w:hAnsi="Times New Roman"/>
          <w:noProof/>
          <w:sz w:val="32"/>
          <w:szCs w:val="32"/>
          <w:lang w:bidi="ar-EG"/>
        </w:rPr>
        <w:t>e</w:t>
      </w:r>
      <w:r w:rsidR="002D16AA" w:rsidRPr="002D16AA">
        <w:rPr>
          <w:rFonts w:ascii="Times New Roman" w:hAnsi="Times New Roman"/>
          <w:noProof/>
          <w:sz w:val="32"/>
          <w:szCs w:val="32"/>
          <w:lang w:bidi="ar-EG"/>
        </w:rPr>
        <w:t xml:space="preserve"> has more than 70 papers in reputed journals and has serving as Editorial Board member of certain journals . He is a supervisor of Research Team members in the faculty</w:t>
      </w:r>
    </w:p>
    <w:p w:rsidR="005B712D" w:rsidRPr="002D16AA" w:rsidRDefault="005B712D" w:rsidP="005B712D">
      <w:pPr>
        <w:spacing w:after="0" w:line="240" w:lineRule="auto"/>
        <w:rPr>
          <w:rFonts w:ascii="Times New Roman" w:hAnsi="Times New Roman"/>
          <w:noProof/>
          <w:sz w:val="32"/>
          <w:szCs w:val="32"/>
          <w:lang w:bidi="ar-EG"/>
        </w:rPr>
      </w:pPr>
    </w:p>
    <w:p w:rsidR="0075081D" w:rsidRPr="002D16AA" w:rsidRDefault="005B712D" w:rsidP="005B712D">
      <w:pPr>
        <w:rPr>
          <w:sz w:val="32"/>
          <w:szCs w:val="32"/>
        </w:rPr>
      </w:pPr>
      <w:r w:rsidRPr="002D16AA">
        <w:rPr>
          <w:rFonts w:asciiTheme="minorBidi" w:hAnsiTheme="minorBidi" w:cstheme="minorBidi"/>
          <w:sz w:val="32"/>
          <w:szCs w:val="32"/>
          <w:lang w:bidi="ar-EG"/>
        </w:rPr>
        <w:fldChar w:fldCharType="end"/>
      </w:r>
    </w:p>
    <w:sectPr w:rsidR="0075081D" w:rsidRPr="002D16AA" w:rsidSect="000440B7">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5B712D"/>
    <w:rsid w:val="000440B7"/>
    <w:rsid w:val="002D16AA"/>
    <w:rsid w:val="005B712D"/>
    <w:rsid w:val="0075081D"/>
    <w:rsid w:val="00F8371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12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1777</Words>
  <Characters>10135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New-Gate</dc:creator>
  <cp:lastModifiedBy>New-Gate</cp:lastModifiedBy>
  <cp:revision>2</cp:revision>
  <dcterms:created xsi:type="dcterms:W3CDTF">2018-08-27T23:35:00Z</dcterms:created>
  <dcterms:modified xsi:type="dcterms:W3CDTF">2018-08-27T23:35:00Z</dcterms:modified>
</cp:coreProperties>
</file>