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1BD6" w:rsidRPr="009001B4" w:rsidRDefault="00031BD6" w:rsidP="00031BD6">
      <w:pPr>
        <w:spacing w:after="160" w:line="48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val="en-US"/>
        </w:rPr>
      </w:pPr>
      <w:r w:rsidRPr="00031BD6">
        <w:rPr>
          <w:lang w:val="en-US"/>
        </w:rPr>
        <w:t xml:space="preserve">Title of </w:t>
      </w:r>
      <w:proofErr w:type="gramStart"/>
      <w:r w:rsidRPr="00031BD6">
        <w:rPr>
          <w:lang w:val="en-US"/>
        </w:rPr>
        <w:t>abstract :</w:t>
      </w:r>
      <w:proofErr w:type="gramEnd"/>
      <w:r w:rsidRPr="00031BD6">
        <w:rPr>
          <w:rFonts w:asciiTheme="majorBidi" w:eastAsia="Times New Roman" w:hAnsiTheme="majorBidi" w:cstheme="majorBidi"/>
          <w:b/>
          <w:bCs/>
          <w:color w:val="000000" w:themeColor="text1"/>
          <w:kern w:val="36"/>
          <w:sz w:val="28"/>
          <w:szCs w:val="28"/>
          <w:lang w:val="en-US" w:eastAsia="fr-FR"/>
        </w:rPr>
        <w:t xml:space="preserve"> </w:t>
      </w:r>
      <w:r w:rsidRPr="009001B4">
        <w:rPr>
          <w:rFonts w:asciiTheme="majorBidi" w:eastAsia="Times New Roman" w:hAnsiTheme="majorBidi" w:cstheme="majorBidi"/>
          <w:b/>
          <w:bCs/>
          <w:color w:val="000000" w:themeColor="text1"/>
          <w:kern w:val="36"/>
          <w:sz w:val="28"/>
          <w:szCs w:val="28"/>
          <w:lang w:val="en-US" w:eastAsia="fr-FR"/>
        </w:rPr>
        <w:t xml:space="preserve">The relationship between </w:t>
      </w:r>
      <w:r w:rsidRPr="009001B4">
        <w:rPr>
          <w:rFonts w:asciiTheme="majorBidi" w:eastAsia="Times New Roman" w:hAnsiTheme="majorBidi" w:cstheme="majorBidi"/>
          <w:b/>
          <w:bCs/>
          <w:i/>
          <w:iCs/>
          <w:color w:val="000000" w:themeColor="text1"/>
          <w:kern w:val="36"/>
          <w:sz w:val="28"/>
          <w:szCs w:val="28"/>
          <w:lang w:val="en-US" w:eastAsia="fr-FR"/>
        </w:rPr>
        <w:t xml:space="preserve">MTHFR </w:t>
      </w:r>
      <w:r w:rsidRPr="009001B4">
        <w:rPr>
          <w:rFonts w:asciiTheme="majorBidi" w:eastAsia="Times New Roman" w:hAnsiTheme="majorBidi" w:cstheme="majorBidi"/>
          <w:b/>
          <w:bCs/>
          <w:color w:val="000000" w:themeColor="text1"/>
          <w:kern w:val="36"/>
          <w:sz w:val="28"/>
          <w:szCs w:val="28"/>
          <w:lang w:val="en-US" w:eastAsia="fr-FR"/>
        </w:rPr>
        <w:t xml:space="preserve">C677T gene polymorphism and essential hypertension in a </w:t>
      </w:r>
      <w:r w:rsidRPr="009001B4"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val="en-US"/>
        </w:rPr>
        <w:t>sample of an Algerian population of the Oran city</w:t>
      </w:r>
    </w:p>
    <w:p w:rsidR="00031BD6" w:rsidRPr="009001B4" w:rsidRDefault="00031BD6" w:rsidP="00031BD6">
      <w:pPr>
        <w:spacing w:line="48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</w:pPr>
      <w:r w:rsidRPr="009001B4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 xml:space="preserve">Asma </w:t>
      </w:r>
      <w:proofErr w:type="spellStart"/>
      <w:r w:rsidRPr="009001B4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>Amrani-Midoun</w:t>
      </w:r>
      <w:r w:rsidRPr="009001B4">
        <w:rPr>
          <w:rFonts w:asciiTheme="majorBidi" w:hAnsiTheme="majorBidi" w:cstheme="majorBidi"/>
          <w:b/>
          <w:bCs/>
          <w:color w:val="000000" w:themeColor="text1"/>
          <w:sz w:val="24"/>
          <w:szCs w:val="24"/>
          <w:vertAlign w:val="superscript"/>
          <w:lang w:val="en-US"/>
        </w:rPr>
        <w:t>a</w:t>
      </w:r>
      <w:proofErr w:type="spellEnd"/>
      <w:r w:rsidRPr="009001B4">
        <w:rPr>
          <w:rFonts w:asciiTheme="majorBidi" w:hAnsiTheme="majorBidi" w:cstheme="majorBidi"/>
          <w:b/>
          <w:bCs/>
          <w:color w:val="000000" w:themeColor="text1"/>
          <w:sz w:val="24"/>
          <w:szCs w:val="24"/>
          <w:vertAlign w:val="superscript"/>
          <w:lang w:val="en-US"/>
        </w:rPr>
        <w:t>*</w:t>
      </w:r>
      <w:r w:rsidRPr="009001B4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 xml:space="preserve">, Soto Romuald </w:t>
      </w:r>
      <w:proofErr w:type="spellStart"/>
      <w:r w:rsidRPr="009001B4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>Kiando</w:t>
      </w:r>
      <w:proofErr w:type="spellEnd"/>
      <w:r w:rsidRPr="009001B4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proofErr w:type="gramStart"/>
      <w:r w:rsidRPr="009001B4">
        <w:rPr>
          <w:rFonts w:asciiTheme="majorBidi" w:hAnsiTheme="majorBidi" w:cstheme="majorBidi"/>
          <w:b/>
          <w:bCs/>
          <w:color w:val="000000" w:themeColor="text1"/>
          <w:sz w:val="24"/>
          <w:szCs w:val="24"/>
          <w:vertAlign w:val="superscript"/>
          <w:lang w:val="en-US"/>
        </w:rPr>
        <w:t>b,c</w:t>
      </w:r>
      <w:proofErr w:type="spellEnd"/>
      <w:proofErr w:type="gramEnd"/>
      <w:r w:rsidRPr="009001B4">
        <w:rPr>
          <w:rFonts w:asciiTheme="majorBidi" w:hAnsiTheme="majorBidi" w:cstheme="majorBidi"/>
          <w:b/>
          <w:bCs/>
          <w:color w:val="000000" w:themeColor="text1"/>
          <w:sz w:val="24"/>
          <w:szCs w:val="24"/>
          <w:vertAlign w:val="superscript"/>
          <w:lang w:val="en-US"/>
        </w:rPr>
        <w:t xml:space="preserve">  </w:t>
      </w:r>
      <w:r w:rsidRPr="009001B4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9001B4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>Cyrielle</w:t>
      </w:r>
      <w:proofErr w:type="spellEnd"/>
      <w:r w:rsidRPr="009001B4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001B4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>Treard</w:t>
      </w:r>
      <w:proofErr w:type="spellEnd"/>
      <w:r w:rsidRPr="009001B4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001B4">
        <w:rPr>
          <w:rFonts w:asciiTheme="majorBidi" w:hAnsiTheme="majorBidi" w:cstheme="majorBidi"/>
          <w:b/>
          <w:bCs/>
          <w:color w:val="000000" w:themeColor="text1"/>
          <w:sz w:val="24"/>
          <w:szCs w:val="24"/>
          <w:vertAlign w:val="superscript"/>
          <w:lang w:val="en-US"/>
        </w:rPr>
        <w:t>b,c</w:t>
      </w:r>
      <w:proofErr w:type="spellEnd"/>
      <w:r w:rsidRPr="009001B4">
        <w:rPr>
          <w:rFonts w:asciiTheme="majorBidi" w:hAnsiTheme="majorBidi" w:cstheme="majorBidi"/>
          <w:b/>
          <w:bCs/>
          <w:color w:val="000000" w:themeColor="text1"/>
          <w:sz w:val="24"/>
          <w:szCs w:val="24"/>
          <w:vertAlign w:val="superscript"/>
          <w:lang w:val="en-US"/>
        </w:rPr>
        <w:t xml:space="preserve"> </w:t>
      </w:r>
      <w:r w:rsidRPr="009001B4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 xml:space="preserve">, Xavier </w:t>
      </w:r>
      <w:proofErr w:type="spellStart"/>
      <w:r w:rsidRPr="009001B4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>Jeunemaitre</w:t>
      </w:r>
      <w:proofErr w:type="spellEnd"/>
      <w:r w:rsidRPr="009001B4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001B4">
        <w:rPr>
          <w:rFonts w:asciiTheme="majorBidi" w:hAnsiTheme="majorBidi" w:cstheme="majorBidi"/>
          <w:b/>
          <w:bCs/>
          <w:color w:val="000000" w:themeColor="text1"/>
          <w:sz w:val="24"/>
          <w:szCs w:val="24"/>
          <w:vertAlign w:val="superscript"/>
          <w:lang w:val="en-US"/>
        </w:rPr>
        <w:t>b,c,d</w:t>
      </w:r>
      <w:proofErr w:type="spellEnd"/>
      <w:r w:rsidRPr="009001B4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 xml:space="preserve"> Nabila </w:t>
      </w:r>
      <w:proofErr w:type="spellStart"/>
      <w:r w:rsidRPr="009001B4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>Bouatia-Naji</w:t>
      </w:r>
      <w:proofErr w:type="spellEnd"/>
      <w:r w:rsidRPr="009001B4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001B4">
        <w:rPr>
          <w:rFonts w:asciiTheme="majorBidi" w:hAnsiTheme="majorBidi" w:cstheme="majorBidi"/>
          <w:b/>
          <w:bCs/>
          <w:color w:val="000000" w:themeColor="text1"/>
          <w:sz w:val="24"/>
          <w:szCs w:val="24"/>
          <w:vertAlign w:val="superscript"/>
          <w:lang w:val="en-US"/>
        </w:rPr>
        <w:t>b,c</w:t>
      </w:r>
      <w:proofErr w:type="spellEnd"/>
    </w:p>
    <w:p w:rsidR="00031BD6" w:rsidRPr="009001B4" w:rsidRDefault="00031BD6" w:rsidP="00031BD6">
      <w:pPr>
        <w:tabs>
          <w:tab w:val="left" w:pos="405"/>
        </w:tabs>
        <w:spacing w:line="48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20"/>
          <w:szCs w:val="20"/>
          <w:lang w:val="en-US"/>
        </w:rPr>
      </w:pPr>
      <w:r w:rsidRPr="009001B4">
        <w:rPr>
          <w:rFonts w:asciiTheme="majorBidi" w:hAnsiTheme="majorBidi" w:cstheme="majorBidi"/>
          <w:b/>
          <w:bCs/>
          <w:color w:val="000000" w:themeColor="text1"/>
          <w:sz w:val="20"/>
          <w:szCs w:val="20"/>
          <w:lang w:val="en-US"/>
        </w:rPr>
        <w:t xml:space="preserve">a* </w:t>
      </w:r>
      <w:r w:rsidRPr="009001B4"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  <w:t xml:space="preserve">Biotechnology Department, Faculty of Sciences of Nature and Life, University of Oran 1 Ahmed </w:t>
      </w:r>
      <w:proofErr w:type="spellStart"/>
      <w:r w:rsidRPr="009001B4"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  <w:t>Benbella</w:t>
      </w:r>
      <w:proofErr w:type="spellEnd"/>
      <w:r w:rsidRPr="009001B4"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  <w:t>, Oran, Algeria</w:t>
      </w:r>
    </w:p>
    <w:p w:rsidR="00031BD6" w:rsidRPr="009001B4" w:rsidRDefault="00031BD6" w:rsidP="00031BD6">
      <w:pPr>
        <w:tabs>
          <w:tab w:val="left" w:pos="405"/>
        </w:tabs>
        <w:spacing w:line="48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20"/>
          <w:szCs w:val="20"/>
          <w:lang w:val="en-US"/>
        </w:rPr>
      </w:pPr>
      <w:r w:rsidRPr="009001B4">
        <w:rPr>
          <w:rFonts w:asciiTheme="majorBidi" w:hAnsiTheme="majorBidi" w:cstheme="majorBidi"/>
          <w:b/>
          <w:bCs/>
          <w:color w:val="000000" w:themeColor="text1"/>
          <w:sz w:val="20"/>
          <w:szCs w:val="20"/>
          <w:lang w:val="en-US"/>
        </w:rPr>
        <w:t xml:space="preserve">b </w:t>
      </w:r>
      <w:r w:rsidRPr="009001B4">
        <w:rPr>
          <w:rFonts w:asciiTheme="majorBidi" w:hAnsiTheme="majorBidi" w:cstheme="majorBidi"/>
          <w:color w:val="000000" w:themeColor="text1"/>
          <w:sz w:val="20"/>
          <w:szCs w:val="20"/>
          <w:shd w:val="clear" w:color="auto" w:fill="FFFFFF"/>
          <w:lang w:val="en-US"/>
        </w:rPr>
        <w:t>INSERM, UMR970 Paris Cardiovascular Research Center (PARCC), Paris F-75015, FRANCE</w:t>
      </w:r>
    </w:p>
    <w:p w:rsidR="00031BD6" w:rsidRPr="009001B4" w:rsidRDefault="00031BD6" w:rsidP="00031BD6">
      <w:pPr>
        <w:tabs>
          <w:tab w:val="left" w:pos="405"/>
        </w:tabs>
        <w:spacing w:line="48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</w:pPr>
      <w:proofErr w:type="gramStart"/>
      <w:r w:rsidRPr="009001B4"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>c</w:t>
      </w:r>
      <w:proofErr w:type="gramEnd"/>
      <w:r w:rsidRPr="009001B4">
        <w:rPr>
          <w:rFonts w:asciiTheme="majorBidi" w:hAnsiTheme="majorBidi" w:cstheme="majorBidi"/>
          <w:color w:val="000000" w:themeColor="text1"/>
          <w:sz w:val="20"/>
          <w:szCs w:val="20"/>
          <w:shd w:val="clear" w:color="auto" w:fill="FFFFFF"/>
        </w:rPr>
        <w:t xml:space="preserve"> Paris-Descartes </w:t>
      </w:r>
      <w:proofErr w:type="spellStart"/>
      <w:r w:rsidRPr="009001B4">
        <w:rPr>
          <w:rFonts w:asciiTheme="majorBidi" w:hAnsiTheme="majorBidi" w:cstheme="majorBidi"/>
          <w:color w:val="000000" w:themeColor="text1"/>
          <w:sz w:val="20"/>
          <w:szCs w:val="20"/>
          <w:shd w:val="clear" w:color="auto" w:fill="FFFFFF"/>
        </w:rPr>
        <w:t>University</w:t>
      </w:r>
      <w:proofErr w:type="spellEnd"/>
      <w:r w:rsidRPr="009001B4">
        <w:rPr>
          <w:rFonts w:asciiTheme="majorBidi" w:hAnsiTheme="majorBidi" w:cstheme="majorBidi"/>
          <w:color w:val="000000" w:themeColor="text1"/>
          <w:sz w:val="20"/>
          <w:szCs w:val="20"/>
          <w:shd w:val="clear" w:color="auto" w:fill="FFFFFF"/>
        </w:rPr>
        <w:t>, Sorbonne Paris Cité, Paris 75006, FRANCE</w:t>
      </w:r>
    </w:p>
    <w:p w:rsidR="00031BD6" w:rsidRPr="009001B4" w:rsidRDefault="00031BD6" w:rsidP="00031BD6">
      <w:pPr>
        <w:tabs>
          <w:tab w:val="left" w:pos="405"/>
        </w:tabs>
        <w:spacing w:line="48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20"/>
          <w:szCs w:val="20"/>
          <w:lang w:val="en-US"/>
        </w:rPr>
      </w:pPr>
      <w:r w:rsidRPr="009001B4">
        <w:rPr>
          <w:rFonts w:asciiTheme="majorBidi" w:hAnsiTheme="majorBidi" w:cstheme="majorBidi"/>
          <w:b/>
          <w:bCs/>
          <w:color w:val="000000" w:themeColor="text1"/>
          <w:sz w:val="20"/>
          <w:szCs w:val="20"/>
          <w:lang w:val="en-US"/>
        </w:rPr>
        <w:t>d</w:t>
      </w:r>
      <w:r w:rsidRPr="009001B4">
        <w:rPr>
          <w:rFonts w:asciiTheme="majorBidi" w:hAnsiTheme="majorBidi" w:cstheme="majorBidi"/>
          <w:color w:val="000000" w:themeColor="text1"/>
          <w:sz w:val="20"/>
          <w:szCs w:val="20"/>
          <w:shd w:val="clear" w:color="auto" w:fill="FFFFFF"/>
          <w:lang w:val="en-US"/>
        </w:rPr>
        <w:t xml:space="preserve"> AP-HP, Department of Genetics, </w:t>
      </w:r>
      <w:proofErr w:type="spellStart"/>
      <w:r w:rsidRPr="009001B4">
        <w:rPr>
          <w:rFonts w:asciiTheme="majorBidi" w:hAnsiTheme="majorBidi" w:cstheme="majorBidi"/>
          <w:color w:val="000000" w:themeColor="text1"/>
          <w:sz w:val="20"/>
          <w:szCs w:val="20"/>
          <w:shd w:val="clear" w:color="auto" w:fill="FFFFFF"/>
          <w:lang w:val="en-US"/>
        </w:rPr>
        <w:t>Hôpital</w:t>
      </w:r>
      <w:proofErr w:type="spellEnd"/>
      <w:r w:rsidRPr="009001B4">
        <w:rPr>
          <w:rFonts w:asciiTheme="majorBidi" w:hAnsiTheme="majorBidi" w:cstheme="majorBidi"/>
          <w:color w:val="000000" w:themeColor="text1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9001B4">
        <w:rPr>
          <w:rFonts w:asciiTheme="majorBidi" w:hAnsiTheme="majorBidi" w:cstheme="majorBidi"/>
          <w:color w:val="000000" w:themeColor="text1"/>
          <w:sz w:val="20"/>
          <w:szCs w:val="20"/>
          <w:shd w:val="clear" w:color="auto" w:fill="FFFFFF"/>
          <w:lang w:val="en-US"/>
        </w:rPr>
        <w:t>Européen</w:t>
      </w:r>
      <w:proofErr w:type="spellEnd"/>
      <w:r w:rsidRPr="009001B4">
        <w:rPr>
          <w:rFonts w:asciiTheme="majorBidi" w:hAnsiTheme="majorBidi" w:cstheme="majorBidi"/>
          <w:color w:val="000000" w:themeColor="text1"/>
          <w:sz w:val="20"/>
          <w:szCs w:val="20"/>
          <w:shd w:val="clear" w:color="auto" w:fill="FFFFFF"/>
          <w:lang w:val="en-US"/>
        </w:rPr>
        <w:t xml:space="preserve"> Georges Pompidou, Paris, F-75015, FRANCE</w:t>
      </w:r>
    </w:p>
    <w:p w:rsidR="00031BD6" w:rsidRPr="009001B4" w:rsidRDefault="00031BD6" w:rsidP="00031BD6">
      <w:pPr>
        <w:spacing w:line="480" w:lineRule="auto"/>
        <w:rPr>
          <w:rFonts w:asciiTheme="majorBidi" w:hAnsiTheme="majorBidi" w:cstheme="majorBidi"/>
          <w:color w:val="000000" w:themeColor="text1"/>
          <w:sz w:val="20"/>
          <w:szCs w:val="20"/>
          <w:shd w:val="clear" w:color="auto" w:fill="FFFFFF"/>
          <w:lang w:val="en-US"/>
        </w:rPr>
      </w:pPr>
      <w:r w:rsidRPr="009001B4">
        <w:rPr>
          <w:rFonts w:asciiTheme="majorBidi" w:hAnsiTheme="majorBidi" w:cstheme="majorBidi"/>
          <w:b/>
          <w:bCs/>
          <w:color w:val="000000" w:themeColor="text1"/>
          <w:lang w:val="en-US"/>
        </w:rPr>
        <w:t xml:space="preserve">*: </w:t>
      </w:r>
      <w:r w:rsidRPr="009001B4"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  <w:t xml:space="preserve">Biotechnology Department, Faculty of Sciences of Nature and life, University of Oran1 Ahmed </w:t>
      </w:r>
      <w:proofErr w:type="spellStart"/>
      <w:r w:rsidRPr="009001B4"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  <w:t>Benbella</w:t>
      </w:r>
      <w:proofErr w:type="spellEnd"/>
      <w:r w:rsidRPr="009001B4"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  <w:t xml:space="preserve">, </w:t>
      </w:r>
      <w:r w:rsidRPr="009001B4">
        <w:rPr>
          <w:rStyle w:val="Accentuation"/>
          <w:rFonts w:asciiTheme="majorBidi" w:hAnsiTheme="majorBidi" w:cstheme="majorBidi"/>
          <w:color w:val="000000" w:themeColor="text1"/>
          <w:sz w:val="20"/>
          <w:szCs w:val="20"/>
          <w:shd w:val="clear" w:color="auto" w:fill="FFFFFF"/>
          <w:lang w:val="en-US"/>
        </w:rPr>
        <w:t xml:space="preserve">B.P 1524 El </w:t>
      </w:r>
      <w:proofErr w:type="spellStart"/>
      <w:r w:rsidRPr="009001B4">
        <w:rPr>
          <w:rStyle w:val="Accentuation"/>
          <w:rFonts w:asciiTheme="majorBidi" w:hAnsiTheme="majorBidi" w:cstheme="majorBidi"/>
          <w:color w:val="000000" w:themeColor="text1"/>
          <w:sz w:val="20"/>
          <w:szCs w:val="20"/>
          <w:shd w:val="clear" w:color="auto" w:fill="FFFFFF"/>
          <w:lang w:val="en-US"/>
        </w:rPr>
        <w:t>Mnaouar</w:t>
      </w:r>
      <w:proofErr w:type="spellEnd"/>
      <w:r w:rsidRPr="009001B4">
        <w:rPr>
          <w:rStyle w:val="apple-converted-space"/>
          <w:rFonts w:asciiTheme="majorBidi" w:hAnsiTheme="majorBidi" w:cstheme="majorBidi"/>
          <w:color w:val="000000" w:themeColor="text1"/>
          <w:sz w:val="20"/>
          <w:szCs w:val="20"/>
          <w:shd w:val="clear" w:color="auto" w:fill="FFFFFF"/>
          <w:lang w:val="en-US"/>
        </w:rPr>
        <w:t> </w:t>
      </w:r>
      <w:r w:rsidRPr="009001B4">
        <w:rPr>
          <w:rFonts w:asciiTheme="majorBidi" w:hAnsiTheme="majorBidi" w:cstheme="majorBidi"/>
          <w:color w:val="000000" w:themeColor="text1"/>
          <w:sz w:val="20"/>
          <w:szCs w:val="20"/>
          <w:shd w:val="clear" w:color="auto" w:fill="FFFFFF"/>
          <w:lang w:val="en-US"/>
        </w:rPr>
        <w:t>Oran 31000 ALGERIA</w:t>
      </w:r>
    </w:p>
    <w:p w:rsidR="00031BD6" w:rsidRPr="009001B4" w:rsidRDefault="00031BD6" w:rsidP="00031BD6">
      <w:pPr>
        <w:spacing w:line="480" w:lineRule="auto"/>
        <w:rPr>
          <w:rFonts w:asciiTheme="majorBidi" w:hAnsiTheme="majorBidi" w:cstheme="majorBidi"/>
          <w:color w:val="000000" w:themeColor="text1"/>
          <w:sz w:val="20"/>
          <w:szCs w:val="20"/>
          <w:shd w:val="clear" w:color="auto" w:fill="FFFFFF"/>
        </w:rPr>
      </w:pPr>
      <w:proofErr w:type="gramStart"/>
      <w:r w:rsidRPr="009001B4">
        <w:rPr>
          <w:rFonts w:asciiTheme="majorBidi" w:hAnsiTheme="majorBidi" w:cstheme="majorBidi"/>
          <w:color w:val="000000" w:themeColor="text1"/>
          <w:sz w:val="20"/>
          <w:szCs w:val="20"/>
          <w:shd w:val="clear" w:color="auto" w:fill="FFFFFF"/>
        </w:rPr>
        <w:t>E-mail:</w:t>
      </w:r>
      <w:proofErr w:type="gramEnd"/>
      <w:r w:rsidRPr="009001B4">
        <w:rPr>
          <w:rFonts w:asciiTheme="majorBidi" w:hAnsiTheme="majorBidi" w:cstheme="majorBidi"/>
          <w:color w:val="000000" w:themeColor="text1"/>
          <w:sz w:val="20"/>
          <w:szCs w:val="20"/>
          <w:shd w:val="clear" w:color="auto" w:fill="FFFFFF"/>
        </w:rPr>
        <w:t xml:space="preserve"> </w:t>
      </w:r>
      <w:hyperlink r:id="rId4" w:history="1">
        <w:r w:rsidRPr="009001B4">
          <w:rPr>
            <w:rStyle w:val="Lienhypertexte"/>
            <w:rFonts w:asciiTheme="majorBidi" w:hAnsiTheme="majorBidi" w:cstheme="majorBidi"/>
            <w:color w:val="000000" w:themeColor="text1"/>
            <w:sz w:val="20"/>
            <w:szCs w:val="20"/>
            <w:shd w:val="clear" w:color="auto" w:fill="FFFFFF"/>
          </w:rPr>
          <w:t>dr.asma.amrani@gmail.com</w:t>
        </w:r>
      </w:hyperlink>
    </w:p>
    <w:p w:rsidR="00031BD6" w:rsidRDefault="00031BD6" w:rsidP="00031BD6">
      <w:pPr>
        <w:spacing w:line="480" w:lineRule="auto"/>
        <w:rPr>
          <w:rFonts w:asciiTheme="majorBidi" w:hAnsiTheme="majorBidi" w:cstheme="majorBidi"/>
          <w:color w:val="000000" w:themeColor="text1"/>
          <w:sz w:val="20"/>
          <w:szCs w:val="20"/>
          <w:shd w:val="clear" w:color="auto" w:fill="FFFFFF"/>
          <w:lang w:val="en-US"/>
        </w:rPr>
      </w:pPr>
      <w:proofErr w:type="gramStart"/>
      <w:r w:rsidRPr="009001B4">
        <w:rPr>
          <w:rFonts w:asciiTheme="majorBidi" w:hAnsiTheme="majorBidi" w:cstheme="majorBidi"/>
          <w:color w:val="000000" w:themeColor="text1"/>
          <w:sz w:val="20"/>
          <w:szCs w:val="20"/>
          <w:shd w:val="clear" w:color="auto" w:fill="FFFFFF"/>
          <w:lang w:val="en-US"/>
        </w:rPr>
        <w:t>Tel :</w:t>
      </w:r>
      <w:proofErr w:type="gramEnd"/>
      <w:r w:rsidRPr="009001B4">
        <w:rPr>
          <w:rFonts w:asciiTheme="majorBidi" w:hAnsiTheme="majorBidi" w:cstheme="majorBidi"/>
          <w:color w:val="000000" w:themeColor="text1"/>
          <w:sz w:val="20"/>
          <w:szCs w:val="20"/>
          <w:shd w:val="clear" w:color="auto" w:fill="FFFFFF"/>
          <w:lang w:val="en-US"/>
        </w:rPr>
        <w:t xml:space="preserve"> 00213</w:t>
      </w:r>
      <w:r>
        <w:rPr>
          <w:rFonts w:asciiTheme="majorBidi" w:hAnsiTheme="majorBidi" w:cstheme="majorBidi"/>
          <w:color w:val="000000" w:themeColor="text1"/>
          <w:sz w:val="20"/>
          <w:szCs w:val="20"/>
          <w:shd w:val="clear" w:color="auto" w:fill="FFFFFF"/>
          <w:lang w:val="en-US"/>
        </w:rPr>
        <w:t>783849634</w:t>
      </w:r>
    </w:p>
    <w:p w:rsidR="00031BD6" w:rsidRPr="009001B4" w:rsidRDefault="00031BD6" w:rsidP="00031BD6">
      <w:pPr>
        <w:spacing w:line="480" w:lineRule="auto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</w:pPr>
      <w:r w:rsidRPr="009001B4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>Abstract</w:t>
      </w:r>
    </w:p>
    <w:p w:rsidR="00031BD6" w:rsidRPr="009001B4" w:rsidRDefault="00031BD6" w:rsidP="00031BD6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r w:rsidRPr="009001B4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>Background</w:t>
      </w:r>
    </w:p>
    <w:p w:rsidR="00031BD6" w:rsidRPr="009001B4" w:rsidRDefault="00031BD6" w:rsidP="00031BD6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r w:rsidRPr="009001B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Many studies have investigated the role of 5,10-methylenetetrahydrofolate reductase (</w:t>
      </w:r>
      <w:r w:rsidRPr="009001B4">
        <w:rPr>
          <w:rFonts w:asciiTheme="majorBidi" w:hAnsiTheme="majorBidi" w:cstheme="majorBidi"/>
          <w:i/>
          <w:color w:val="000000" w:themeColor="text1"/>
          <w:sz w:val="24"/>
          <w:szCs w:val="24"/>
          <w:lang w:val="en-US"/>
        </w:rPr>
        <w:t>MTHFR</w:t>
      </w:r>
      <w:r w:rsidRPr="009001B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) C677T gene polymorphism in essential hypertension (EH), but with conflicting results. </w:t>
      </w:r>
    </w:p>
    <w:p w:rsidR="00031BD6" w:rsidRPr="009001B4" w:rsidRDefault="00031BD6" w:rsidP="00031BD6">
      <w:pPr>
        <w:spacing w:line="480" w:lineRule="auto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</w:pPr>
      <w:r w:rsidRPr="009001B4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>Aim</w:t>
      </w:r>
    </w:p>
    <w:p w:rsidR="00031BD6" w:rsidRPr="009001B4" w:rsidRDefault="00031BD6" w:rsidP="00031BD6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r w:rsidRPr="009001B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To determine the eventual association between 5,10-methylenetetrahydrofolate reductase (</w:t>
      </w:r>
      <w:proofErr w:type="gramStart"/>
      <w:r w:rsidRPr="009001B4">
        <w:rPr>
          <w:rFonts w:asciiTheme="majorBidi" w:hAnsiTheme="majorBidi" w:cstheme="majorBidi"/>
          <w:i/>
          <w:color w:val="000000" w:themeColor="text1"/>
          <w:sz w:val="24"/>
          <w:szCs w:val="24"/>
          <w:lang w:val="en-US"/>
        </w:rPr>
        <w:t xml:space="preserve">MTHFR </w:t>
      </w:r>
      <w:r w:rsidRPr="009001B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)</w:t>
      </w:r>
      <w:proofErr w:type="gramEnd"/>
      <w:r w:rsidRPr="009001B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C677T gene polymorphism and hypertension in a sample of Algerian population from the Oran city.</w:t>
      </w:r>
    </w:p>
    <w:p w:rsidR="00031BD6" w:rsidRPr="009001B4" w:rsidRDefault="00031BD6" w:rsidP="00031BD6">
      <w:pPr>
        <w:spacing w:line="480" w:lineRule="auto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</w:pPr>
      <w:r w:rsidRPr="009001B4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lastRenderedPageBreak/>
        <w:t xml:space="preserve">Methods </w:t>
      </w:r>
    </w:p>
    <w:p w:rsidR="00031BD6" w:rsidRPr="009001B4" w:rsidRDefault="00031BD6" w:rsidP="00031BD6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r w:rsidRPr="009001B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A case-control study has been performed in 154 subjects including 82 hypertensives defined as subjects with elevated systolic blood pressure SBD</w:t>
      </w:r>
      <m:oMath>
        <m:r>
          <w:rPr>
            <w:rFonts w:ascii="Cambria Math" w:hAnsi="Cambria Math" w:cstheme="majorBidi"/>
            <w:color w:val="000000" w:themeColor="text1"/>
            <w:sz w:val="24"/>
            <w:szCs w:val="24"/>
            <w:lang w:val="en-US"/>
          </w:rPr>
          <m:t>≥</m:t>
        </m:r>
      </m:oMath>
      <w:r w:rsidRPr="009001B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140mmHg and or sustained diastolic blood pressure DBP≥90mmHg, and 72 normotensive subjects. Polymerase chain reaction (PCR) combined with restrictive fragment length polymorphism (RFLP) was used to detect the </w:t>
      </w:r>
      <w:r w:rsidRPr="009001B4">
        <w:rPr>
          <w:rFonts w:asciiTheme="majorBidi" w:hAnsiTheme="majorBidi" w:cstheme="majorBidi"/>
          <w:i/>
          <w:color w:val="000000" w:themeColor="text1"/>
          <w:sz w:val="24"/>
          <w:szCs w:val="24"/>
          <w:lang w:val="en-US"/>
        </w:rPr>
        <w:t xml:space="preserve">MTHFR </w:t>
      </w:r>
      <w:r w:rsidRPr="009001B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C677T variant. </w:t>
      </w:r>
    </w:p>
    <w:p w:rsidR="00031BD6" w:rsidRPr="009001B4" w:rsidRDefault="00031BD6" w:rsidP="00031BD6">
      <w:pPr>
        <w:spacing w:line="480" w:lineRule="auto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</w:pPr>
      <w:r w:rsidRPr="009001B4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>Results</w:t>
      </w:r>
    </w:p>
    <w:p w:rsidR="00031BD6" w:rsidRPr="00031BD6" w:rsidRDefault="00031BD6" w:rsidP="00031BD6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r w:rsidRPr="009001B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We observe no significant differences between allelic and genotypic frequencies between cases and controls for C677T polymorphism (OR=1.51, 95% CI= 0.89-2.56, P=0.13). Analyses adjusted for age, sex and body mass index improved the association level, though the association was still not significant (30% vs. 22%, OR=1.75, 95% CI= 0.95-3.24, P=0.07). </w:t>
      </w:r>
      <w:bookmarkStart w:id="0" w:name="_GoBack"/>
      <w:bookmarkEnd w:id="0"/>
    </w:p>
    <w:p w:rsidR="00031BD6" w:rsidRPr="009001B4" w:rsidRDefault="00031BD6" w:rsidP="00031BD6">
      <w:pPr>
        <w:spacing w:line="480" w:lineRule="auto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</w:pPr>
      <w:r w:rsidRPr="009001B4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 xml:space="preserve">Conclusion </w:t>
      </w:r>
    </w:p>
    <w:p w:rsidR="00031BD6" w:rsidRPr="009001B4" w:rsidRDefault="00031BD6" w:rsidP="00031BD6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r w:rsidRPr="009001B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This work showed that genetic polymorphism related to the </w:t>
      </w:r>
      <w:r w:rsidRPr="009001B4">
        <w:rPr>
          <w:rFonts w:asciiTheme="majorBidi" w:hAnsiTheme="majorBidi" w:cstheme="majorBidi"/>
          <w:i/>
          <w:color w:val="000000" w:themeColor="text1"/>
          <w:sz w:val="24"/>
          <w:szCs w:val="24"/>
          <w:lang w:val="en-US"/>
        </w:rPr>
        <w:t xml:space="preserve">MTHFR </w:t>
      </w:r>
      <w:r w:rsidRPr="009001B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gene (C677T) is not associated with the risk of hypertension in this sample of Algerian population. Larger case- control samples are required to clearly assess the role of this genetic variant in EH. </w:t>
      </w:r>
    </w:p>
    <w:p w:rsidR="00031BD6" w:rsidRPr="009001B4" w:rsidRDefault="00031BD6" w:rsidP="00031BD6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r w:rsidRPr="009001B4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>Keywords:</w:t>
      </w:r>
      <w:r w:rsidRPr="009001B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r w:rsidRPr="009001B4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US"/>
        </w:rPr>
        <w:t>MTHFR</w:t>
      </w:r>
      <w:r w:rsidRPr="009001B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C677T gene polymorphism; hypertension; Algerian population; case-control study.</w:t>
      </w:r>
    </w:p>
    <w:p w:rsidR="00031BD6" w:rsidRPr="009001B4" w:rsidRDefault="00031BD6" w:rsidP="00031BD6">
      <w:pPr>
        <w:spacing w:line="480" w:lineRule="auto"/>
        <w:rPr>
          <w:rFonts w:asciiTheme="majorBidi" w:hAnsiTheme="majorBidi" w:cstheme="majorBidi"/>
          <w:color w:val="000000" w:themeColor="text1"/>
          <w:sz w:val="20"/>
          <w:szCs w:val="20"/>
          <w:shd w:val="clear" w:color="auto" w:fill="FFFFFF"/>
          <w:lang w:val="en-US"/>
        </w:rPr>
      </w:pPr>
    </w:p>
    <w:p w:rsidR="00EF7E87" w:rsidRPr="00031BD6" w:rsidRDefault="00031BD6">
      <w:pPr>
        <w:rPr>
          <w:lang w:val="en-US"/>
        </w:rPr>
      </w:pPr>
    </w:p>
    <w:sectPr w:rsidR="00EF7E87" w:rsidRPr="00031B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BD6"/>
    <w:rsid w:val="00031BD6"/>
    <w:rsid w:val="00765253"/>
    <w:rsid w:val="00FD7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D9703"/>
  <w15:chartTrackingRefBased/>
  <w15:docId w15:val="{0AEDAFAA-1A95-4290-8A65-8BB8B779A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31BD6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031BD6"/>
    <w:rPr>
      <w:color w:val="0000FF"/>
      <w:u w:val="single"/>
    </w:rPr>
  </w:style>
  <w:style w:type="character" w:styleId="Accentuation">
    <w:name w:val="Emphasis"/>
    <w:basedOn w:val="Policepardfaut"/>
    <w:uiPriority w:val="20"/>
    <w:qFormat/>
    <w:rsid w:val="00031BD6"/>
    <w:rPr>
      <w:i/>
      <w:iCs/>
    </w:rPr>
  </w:style>
  <w:style w:type="character" w:customStyle="1" w:styleId="apple-converted-space">
    <w:name w:val="apple-converted-space"/>
    <w:basedOn w:val="Policepardfaut"/>
    <w:rsid w:val="00031B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r.asma.amrani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370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2018-08-05T10:05:00Z</dcterms:created>
  <dcterms:modified xsi:type="dcterms:W3CDTF">2018-08-05T10:13:00Z</dcterms:modified>
</cp:coreProperties>
</file>