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463" w:rsidRPr="00C0408B" w:rsidRDefault="00283463" w:rsidP="00C0408B">
      <w:pPr>
        <w:spacing w:before="60" w:after="60" w:line="480" w:lineRule="auto"/>
        <w:jc w:val="both"/>
        <w:rPr>
          <w:rFonts w:asciiTheme="majorBidi" w:hAnsiTheme="majorBidi" w:cstheme="majorBidi"/>
          <w:b/>
          <w:bCs/>
          <w:sz w:val="24"/>
          <w:szCs w:val="24"/>
        </w:rPr>
      </w:pPr>
      <w:r w:rsidRPr="00C0408B">
        <w:rPr>
          <w:rFonts w:asciiTheme="majorBidi" w:eastAsia="Calibri" w:hAnsiTheme="majorBidi" w:cstheme="majorBidi"/>
          <w:b/>
          <w:bCs/>
          <w:sz w:val="24"/>
          <w:szCs w:val="24"/>
        </w:rPr>
        <w:t xml:space="preserve">First successful revascularization of double chronic total occlusion (CTO) through Trans radial </w:t>
      </w:r>
      <w:r w:rsidRPr="00C0408B">
        <w:rPr>
          <w:rFonts w:asciiTheme="majorBidi" w:hAnsiTheme="majorBidi" w:cstheme="majorBidi"/>
          <w:b/>
          <w:bCs/>
          <w:sz w:val="24"/>
          <w:szCs w:val="24"/>
        </w:rPr>
        <w:t>intervention (</w:t>
      </w:r>
      <w:r w:rsidRPr="00C0408B">
        <w:rPr>
          <w:rFonts w:asciiTheme="majorBidi" w:eastAsia="Calibri" w:hAnsiTheme="majorBidi" w:cstheme="majorBidi"/>
          <w:b/>
          <w:bCs/>
          <w:sz w:val="24"/>
          <w:szCs w:val="24"/>
        </w:rPr>
        <w:t>TRI) at French Medical Institute for Children, Kabul, Afghanistan (case report</w:t>
      </w:r>
      <w:r w:rsidRPr="00C0408B">
        <w:rPr>
          <w:rFonts w:asciiTheme="majorBidi" w:hAnsiTheme="majorBidi" w:cstheme="majorBidi"/>
          <w:b/>
          <w:bCs/>
          <w:sz w:val="24"/>
          <w:szCs w:val="24"/>
        </w:rPr>
        <w:t>) 2016</w:t>
      </w:r>
    </w:p>
    <w:p w:rsidR="00283463" w:rsidRPr="00C0408B" w:rsidRDefault="00283463" w:rsidP="00C0408B">
      <w:pPr>
        <w:spacing w:before="60" w:after="60" w:line="480" w:lineRule="auto"/>
        <w:jc w:val="both"/>
        <w:outlineLvl w:val="0"/>
        <w:rPr>
          <w:rFonts w:asciiTheme="majorBidi" w:hAnsiTheme="majorBidi" w:cstheme="majorBidi"/>
          <w:b/>
          <w:bCs/>
          <w:sz w:val="24"/>
          <w:szCs w:val="24"/>
        </w:rPr>
      </w:pPr>
      <w:proofErr w:type="spellStart"/>
      <w:r w:rsidRPr="00C0408B">
        <w:rPr>
          <w:rFonts w:asciiTheme="majorBidi" w:eastAsia="Calibri" w:hAnsiTheme="majorBidi" w:cstheme="majorBidi"/>
          <w:b/>
          <w:bCs/>
          <w:sz w:val="24"/>
          <w:szCs w:val="24"/>
        </w:rPr>
        <w:t>Najeebullah</w:t>
      </w:r>
      <w:proofErr w:type="spellEnd"/>
      <w:r w:rsidRPr="00C0408B">
        <w:rPr>
          <w:rFonts w:asciiTheme="majorBidi" w:eastAsia="Calibri" w:hAnsiTheme="majorBidi" w:cstheme="majorBidi"/>
          <w:b/>
          <w:bCs/>
          <w:sz w:val="24"/>
          <w:szCs w:val="24"/>
        </w:rPr>
        <w:t xml:space="preserve"> </w:t>
      </w:r>
      <w:proofErr w:type="spellStart"/>
      <w:r w:rsidRPr="00C0408B">
        <w:rPr>
          <w:rFonts w:asciiTheme="majorBidi" w:eastAsia="Calibri" w:hAnsiTheme="majorBidi" w:cstheme="majorBidi"/>
          <w:b/>
          <w:bCs/>
          <w:sz w:val="24"/>
          <w:szCs w:val="24"/>
        </w:rPr>
        <w:t>Jalalzai</w:t>
      </w:r>
      <w:proofErr w:type="spellEnd"/>
      <w:r w:rsidRPr="00C0408B">
        <w:rPr>
          <w:rFonts w:asciiTheme="majorBidi" w:eastAsia="Calibri" w:hAnsiTheme="majorBidi" w:cstheme="majorBidi"/>
          <w:b/>
          <w:bCs/>
          <w:sz w:val="24"/>
          <w:szCs w:val="24"/>
        </w:rPr>
        <w:t xml:space="preserve">, MD </w:t>
      </w:r>
      <w:r w:rsidRPr="00C0408B">
        <w:rPr>
          <w:rFonts w:asciiTheme="majorBidi" w:hAnsiTheme="majorBidi" w:cstheme="majorBidi"/>
          <w:b/>
          <w:bCs/>
          <w:sz w:val="24"/>
          <w:szCs w:val="24"/>
        </w:rPr>
        <w:t>interventional cardiologist</w:t>
      </w:r>
      <w:r w:rsidRPr="00C0408B">
        <w:rPr>
          <w:rFonts w:asciiTheme="majorBidi" w:hAnsiTheme="majorBidi" w:cstheme="majorBidi"/>
          <w:b/>
          <w:bCs/>
          <w:sz w:val="24"/>
          <w:szCs w:val="24"/>
          <w:vertAlign w:val="superscript"/>
        </w:rPr>
        <w:t>1</w:t>
      </w:r>
      <w:r w:rsidRPr="00C0408B">
        <w:rPr>
          <w:rFonts w:asciiTheme="majorBidi" w:hAnsiTheme="majorBidi" w:cstheme="majorBidi"/>
          <w:b/>
          <w:bCs/>
          <w:sz w:val="24"/>
          <w:szCs w:val="24"/>
        </w:rPr>
        <w:t>, MD,</w:t>
      </w:r>
      <w:r w:rsidRPr="00C0408B">
        <w:rPr>
          <w:rFonts w:asciiTheme="majorBidi" w:hAnsiTheme="majorBidi" w:cstheme="majorBidi"/>
          <w:b/>
          <w:bCs/>
          <w:sz w:val="24"/>
          <w:szCs w:val="24"/>
        </w:rPr>
        <w:t xml:space="preserve"> Dunya Moghul, MD, MS</w:t>
      </w:r>
      <w:r w:rsidRPr="00C0408B">
        <w:rPr>
          <w:rFonts w:asciiTheme="majorBidi" w:hAnsiTheme="majorBidi" w:cstheme="majorBidi"/>
          <w:b/>
          <w:bCs/>
          <w:sz w:val="24"/>
          <w:szCs w:val="24"/>
          <w:vertAlign w:val="superscript"/>
        </w:rPr>
        <w:t>2</w:t>
      </w:r>
      <w:r w:rsidRPr="00C0408B">
        <w:rPr>
          <w:rFonts w:asciiTheme="majorBidi" w:hAnsiTheme="majorBidi" w:cstheme="majorBidi"/>
          <w:b/>
          <w:bCs/>
          <w:sz w:val="24"/>
          <w:szCs w:val="24"/>
        </w:rPr>
        <w:t xml:space="preserve"> </w:t>
      </w:r>
      <w:proofErr w:type="spellStart"/>
      <w:r w:rsidRPr="00C0408B">
        <w:rPr>
          <w:rFonts w:asciiTheme="majorBidi" w:hAnsiTheme="majorBidi" w:cstheme="majorBidi"/>
          <w:b/>
          <w:bCs/>
          <w:sz w:val="24"/>
          <w:szCs w:val="24"/>
        </w:rPr>
        <w:t>Jamshid</w:t>
      </w:r>
      <w:proofErr w:type="spellEnd"/>
      <w:r w:rsidRPr="00C0408B">
        <w:rPr>
          <w:rFonts w:asciiTheme="majorBidi" w:eastAsia="Calibri" w:hAnsiTheme="majorBidi" w:cstheme="majorBidi"/>
          <w:b/>
          <w:bCs/>
          <w:sz w:val="24"/>
          <w:szCs w:val="24"/>
        </w:rPr>
        <w:t xml:space="preserve"> </w:t>
      </w:r>
      <w:proofErr w:type="spellStart"/>
      <w:r w:rsidRPr="00C0408B">
        <w:rPr>
          <w:rFonts w:asciiTheme="majorBidi" w:eastAsia="Calibri" w:hAnsiTheme="majorBidi" w:cstheme="majorBidi"/>
          <w:b/>
          <w:bCs/>
          <w:sz w:val="24"/>
          <w:szCs w:val="24"/>
        </w:rPr>
        <w:t>Rezae</w:t>
      </w:r>
      <w:proofErr w:type="spellEnd"/>
      <w:r w:rsidRPr="00C0408B">
        <w:rPr>
          <w:rFonts w:asciiTheme="majorBidi" w:hAnsiTheme="majorBidi" w:cstheme="majorBidi"/>
          <w:b/>
          <w:bCs/>
          <w:sz w:val="24"/>
          <w:szCs w:val="24"/>
        </w:rPr>
        <w:t>, MD, interventional cardiologist</w:t>
      </w:r>
      <w:r w:rsidRPr="00C0408B">
        <w:rPr>
          <w:rFonts w:asciiTheme="majorBidi" w:hAnsiTheme="majorBidi" w:cstheme="majorBidi"/>
          <w:b/>
          <w:bCs/>
          <w:sz w:val="24"/>
          <w:szCs w:val="24"/>
          <w:vertAlign w:val="superscript"/>
        </w:rPr>
        <w:t>1</w:t>
      </w:r>
    </w:p>
    <w:p w:rsidR="00283463" w:rsidRPr="00C0408B" w:rsidRDefault="00283463" w:rsidP="00C0408B">
      <w:pPr>
        <w:pStyle w:val="ListParagraph"/>
        <w:numPr>
          <w:ilvl w:val="0"/>
          <w:numId w:val="1"/>
        </w:numPr>
        <w:spacing w:before="60" w:after="60" w:line="480" w:lineRule="auto"/>
        <w:jc w:val="both"/>
        <w:outlineLvl w:val="0"/>
        <w:rPr>
          <w:rFonts w:asciiTheme="majorBidi" w:hAnsiTheme="majorBidi" w:cstheme="majorBidi"/>
          <w:b/>
          <w:bCs/>
          <w:sz w:val="24"/>
          <w:szCs w:val="24"/>
        </w:rPr>
      </w:pPr>
      <w:r w:rsidRPr="00C0408B">
        <w:rPr>
          <w:rFonts w:asciiTheme="majorBidi" w:hAnsiTheme="majorBidi" w:cstheme="majorBidi"/>
          <w:b/>
          <w:bCs/>
          <w:sz w:val="24"/>
          <w:szCs w:val="24"/>
        </w:rPr>
        <w:t>pediatric surgery</w:t>
      </w:r>
      <w:r w:rsidRPr="00C0408B">
        <w:rPr>
          <w:rFonts w:asciiTheme="majorBidi" w:hAnsiTheme="majorBidi" w:cstheme="majorBidi"/>
          <w:b/>
          <w:bCs/>
          <w:color w:val="000000" w:themeColor="text1"/>
          <w:sz w:val="24"/>
          <w:szCs w:val="24"/>
        </w:rPr>
        <w:t xml:space="preserve"> </w:t>
      </w:r>
      <w:r w:rsidRPr="00C0408B">
        <w:rPr>
          <w:rFonts w:asciiTheme="majorBidi" w:hAnsiTheme="majorBidi" w:cstheme="majorBidi"/>
          <w:b/>
          <w:bCs/>
          <w:color w:val="000000" w:themeColor="text1"/>
          <w:sz w:val="24"/>
          <w:szCs w:val="24"/>
        </w:rPr>
        <w:t>department</w:t>
      </w:r>
    </w:p>
    <w:p w:rsidR="00283463" w:rsidRPr="00C0408B" w:rsidRDefault="00283463" w:rsidP="00C0408B">
      <w:pPr>
        <w:pStyle w:val="ListParagraph"/>
        <w:numPr>
          <w:ilvl w:val="0"/>
          <w:numId w:val="1"/>
        </w:numPr>
        <w:spacing w:before="60" w:after="60" w:line="480" w:lineRule="auto"/>
        <w:jc w:val="both"/>
        <w:outlineLvl w:val="0"/>
        <w:rPr>
          <w:rFonts w:asciiTheme="majorBidi" w:hAnsiTheme="majorBidi" w:cstheme="majorBidi"/>
          <w:b/>
          <w:bCs/>
          <w:sz w:val="24"/>
          <w:szCs w:val="24"/>
        </w:rPr>
      </w:pPr>
      <w:r w:rsidRPr="00C0408B">
        <w:rPr>
          <w:rFonts w:asciiTheme="majorBidi" w:hAnsiTheme="majorBidi" w:cstheme="majorBidi"/>
          <w:b/>
          <w:bCs/>
          <w:sz w:val="24"/>
          <w:szCs w:val="24"/>
        </w:rPr>
        <w:t>cardiology department</w:t>
      </w:r>
    </w:p>
    <w:p w:rsidR="00283463" w:rsidRPr="00C0408B" w:rsidRDefault="00283463" w:rsidP="00C0408B">
      <w:pPr>
        <w:jc w:val="both"/>
        <w:rPr>
          <w:rFonts w:asciiTheme="majorBidi" w:hAnsiTheme="majorBidi" w:cstheme="majorBidi"/>
          <w:b/>
          <w:bCs/>
          <w:sz w:val="24"/>
          <w:szCs w:val="24"/>
        </w:rPr>
      </w:pPr>
      <w:r w:rsidRPr="00C0408B">
        <w:rPr>
          <w:rFonts w:asciiTheme="majorBidi" w:hAnsiTheme="majorBidi" w:cstheme="majorBidi"/>
          <w:b/>
          <w:bCs/>
          <w:color w:val="000000" w:themeColor="text1"/>
          <w:sz w:val="24"/>
          <w:szCs w:val="24"/>
        </w:rPr>
        <w:t xml:space="preserve"> </w:t>
      </w:r>
      <w:r w:rsidRPr="00C0408B">
        <w:rPr>
          <w:rFonts w:asciiTheme="majorBidi" w:hAnsiTheme="majorBidi" w:cstheme="majorBidi"/>
          <w:b/>
          <w:bCs/>
          <w:sz w:val="24"/>
          <w:szCs w:val="24"/>
        </w:rPr>
        <w:t>French Medical Institute for Children (FMIC)</w:t>
      </w:r>
    </w:p>
    <w:p w:rsidR="00283463" w:rsidRPr="00C0408B" w:rsidRDefault="00283463" w:rsidP="00C0408B">
      <w:pPr>
        <w:spacing w:before="60" w:after="60" w:line="480" w:lineRule="auto"/>
        <w:jc w:val="both"/>
        <w:outlineLvl w:val="0"/>
        <w:rPr>
          <w:rFonts w:asciiTheme="majorBidi" w:hAnsiTheme="majorBidi" w:cstheme="majorBidi"/>
          <w:b/>
          <w:bCs/>
          <w:sz w:val="24"/>
          <w:szCs w:val="24"/>
        </w:rPr>
      </w:pPr>
      <w:r w:rsidRPr="00C0408B">
        <w:rPr>
          <w:rFonts w:asciiTheme="majorBidi" w:hAnsiTheme="majorBidi" w:cstheme="majorBidi"/>
          <w:b/>
          <w:bCs/>
          <w:sz w:val="24"/>
          <w:szCs w:val="24"/>
        </w:rPr>
        <w:t>Abstract:</w:t>
      </w:r>
    </w:p>
    <w:p w:rsidR="00283463" w:rsidRPr="00C0408B" w:rsidRDefault="00283463" w:rsidP="00C0408B">
      <w:pPr>
        <w:spacing w:before="60" w:after="60" w:line="480" w:lineRule="auto"/>
        <w:jc w:val="both"/>
        <w:outlineLvl w:val="0"/>
        <w:rPr>
          <w:rFonts w:asciiTheme="majorBidi" w:hAnsiTheme="majorBidi" w:cstheme="majorBidi"/>
          <w:b/>
          <w:bCs/>
          <w:sz w:val="24"/>
          <w:szCs w:val="24"/>
        </w:rPr>
      </w:pPr>
      <w:r w:rsidRPr="00C0408B">
        <w:rPr>
          <w:rFonts w:asciiTheme="majorBidi" w:hAnsiTheme="majorBidi" w:cstheme="majorBidi"/>
          <w:b/>
          <w:bCs/>
          <w:sz w:val="24"/>
          <w:szCs w:val="24"/>
        </w:rPr>
        <w:t>Introduction:</w:t>
      </w:r>
      <w:r w:rsidRPr="00C0408B">
        <w:rPr>
          <w:rFonts w:asciiTheme="majorBidi" w:hAnsiTheme="majorBidi" w:cstheme="majorBidi"/>
          <w:b/>
          <w:bCs/>
          <w:sz w:val="24"/>
          <w:szCs w:val="24"/>
        </w:rPr>
        <w:t xml:space="preserve"> </w:t>
      </w:r>
      <w:r w:rsidRPr="00C0408B">
        <w:rPr>
          <w:rFonts w:asciiTheme="majorBidi" w:hAnsiTheme="majorBidi" w:cstheme="majorBidi"/>
          <w:sz w:val="24"/>
          <w:szCs w:val="24"/>
        </w:rPr>
        <w:t xml:space="preserve">Multiple chronic total occlusions are rare finding and prognosis is not </w:t>
      </w:r>
      <w:proofErr w:type="spellStart"/>
      <w:r w:rsidRPr="00C0408B">
        <w:rPr>
          <w:rFonts w:asciiTheme="majorBidi" w:hAnsiTheme="majorBidi" w:cstheme="majorBidi"/>
          <w:sz w:val="24"/>
          <w:szCs w:val="24"/>
        </w:rPr>
        <w:t>good</w:t>
      </w:r>
      <w:r w:rsidRPr="00C0408B">
        <w:rPr>
          <w:rFonts w:asciiTheme="majorBidi" w:hAnsiTheme="majorBidi" w:cstheme="majorBidi"/>
          <w:sz w:val="24"/>
          <w:szCs w:val="24"/>
        </w:rPr>
        <w:t>.</w:t>
      </w:r>
      <w:r w:rsidRPr="00C0408B">
        <w:rPr>
          <w:rFonts w:asciiTheme="majorBidi" w:hAnsiTheme="majorBidi" w:cstheme="majorBidi"/>
          <w:sz w:val="24"/>
          <w:szCs w:val="24"/>
        </w:rPr>
        <w:t>The</w:t>
      </w:r>
      <w:proofErr w:type="spellEnd"/>
      <w:r w:rsidRPr="00C0408B">
        <w:rPr>
          <w:rFonts w:asciiTheme="majorBidi" w:hAnsiTheme="majorBidi" w:cstheme="majorBidi"/>
          <w:sz w:val="24"/>
          <w:szCs w:val="24"/>
        </w:rPr>
        <w:t xml:space="preserve"> choice of treatment for chronic total occlusions (CTOs) is still a challenge in interventional cardiology, factors such as clinical condition of patient and technical consideration of procedure has been mentioned to affect the result and outcome of </w:t>
      </w:r>
      <w:hyperlink r:id="rId5" w:history="1">
        <w:r w:rsidRPr="00C0408B">
          <w:rPr>
            <w:rStyle w:val="Hyperlink"/>
            <w:rFonts w:asciiTheme="majorBidi" w:hAnsiTheme="majorBidi" w:cstheme="majorBidi"/>
            <w:color w:val="000000" w:themeColor="text1"/>
            <w:sz w:val="24"/>
            <w:szCs w:val="24"/>
            <w:u w:val="none"/>
          </w:rPr>
          <w:t>percutaneous</w:t>
        </w:r>
      </w:hyperlink>
      <w:r w:rsidRPr="00C0408B">
        <w:rPr>
          <w:rFonts w:asciiTheme="majorBidi" w:hAnsiTheme="majorBidi" w:cstheme="majorBidi"/>
          <w:sz w:val="24"/>
          <w:szCs w:val="24"/>
        </w:rPr>
        <w:t xml:space="preserve"> coronary intervention</w:t>
      </w:r>
    </w:p>
    <w:p w:rsidR="00283463" w:rsidRPr="00C0408B" w:rsidRDefault="00283463" w:rsidP="00C0408B">
      <w:pPr>
        <w:autoSpaceDE w:val="0"/>
        <w:autoSpaceDN w:val="0"/>
        <w:adjustRightInd w:val="0"/>
        <w:spacing w:after="0" w:line="480" w:lineRule="auto"/>
        <w:jc w:val="both"/>
        <w:rPr>
          <w:rFonts w:asciiTheme="majorBidi" w:hAnsiTheme="majorBidi" w:cstheme="majorBidi"/>
          <w:sz w:val="24"/>
          <w:szCs w:val="24"/>
        </w:rPr>
      </w:pPr>
      <w:r w:rsidRPr="00C0408B">
        <w:rPr>
          <w:rFonts w:asciiTheme="majorBidi" w:hAnsiTheme="majorBidi" w:cstheme="majorBidi"/>
          <w:b/>
          <w:bCs/>
          <w:sz w:val="24"/>
          <w:szCs w:val="24"/>
        </w:rPr>
        <w:t>Case Report</w:t>
      </w:r>
      <w:r w:rsidRPr="00C0408B">
        <w:rPr>
          <w:rFonts w:asciiTheme="majorBidi" w:hAnsiTheme="majorBidi" w:cstheme="majorBidi"/>
          <w:sz w:val="24"/>
          <w:szCs w:val="24"/>
        </w:rPr>
        <w:t xml:space="preserve">: </w:t>
      </w:r>
      <w:r w:rsidRPr="00C0408B">
        <w:rPr>
          <w:rFonts w:asciiTheme="majorBidi" w:hAnsiTheme="majorBidi" w:cstheme="majorBidi"/>
          <w:sz w:val="24"/>
          <w:szCs w:val="24"/>
        </w:rPr>
        <w:t>60 years’ male patient with the chest pain, but no any past history come to the outpatient department of cardiology department of French Medical Institute for Children Echo-cardiograph showed preserved left ventricular ejection fraction</w:t>
      </w:r>
      <w:r w:rsidRPr="00C0408B">
        <w:rPr>
          <w:rFonts w:asciiTheme="majorBidi" w:hAnsiTheme="majorBidi" w:cstheme="majorBidi"/>
          <w:color w:val="FF0000"/>
          <w:sz w:val="24"/>
          <w:szCs w:val="24"/>
        </w:rPr>
        <w:t xml:space="preserve"> </w:t>
      </w:r>
      <w:r w:rsidRPr="00C0408B">
        <w:rPr>
          <w:rFonts w:asciiTheme="majorBidi" w:hAnsiTheme="majorBidi" w:cstheme="majorBidi"/>
          <w:sz w:val="24"/>
          <w:szCs w:val="24"/>
        </w:rPr>
        <w:t>(LVEF &gt;50%). The first step for this patient was diagnostic angiography which is done through right radi</w:t>
      </w:r>
      <w:r w:rsidRPr="00C0408B">
        <w:rPr>
          <w:rFonts w:asciiTheme="majorBidi" w:hAnsiTheme="majorBidi" w:cstheme="majorBidi"/>
          <w:sz w:val="24"/>
          <w:szCs w:val="24"/>
        </w:rPr>
        <w:t>al artery and the findings were;</w:t>
      </w:r>
      <w:r w:rsidR="00C0408B">
        <w:rPr>
          <w:rFonts w:asciiTheme="majorBidi" w:hAnsiTheme="majorBidi" w:cstheme="majorBidi"/>
          <w:sz w:val="24"/>
          <w:szCs w:val="24"/>
        </w:rPr>
        <w:t xml:space="preserve"> </w:t>
      </w:r>
      <w:bookmarkStart w:id="0" w:name="_GoBack"/>
      <w:bookmarkEnd w:id="0"/>
      <w:r w:rsidRPr="00C0408B">
        <w:rPr>
          <w:rFonts w:asciiTheme="majorBidi" w:hAnsiTheme="majorBidi" w:cstheme="majorBidi"/>
          <w:sz w:val="24"/>
          <w:szCs w:val="24"/>
        </w:rPr>
        <w:t xml:space="preserve">Total </w:t>
      </w:r>
      <w:proofErr w:type="spellStart"/>
      <w:r w:rsidRPr="00C0408B">
        <w:rPr>
          <w:rFonts w:asciiTheme="majorBidi" w:hAnsiTheme="majorBidi" w:cstheme="majorBidi"/>
          <w:sz w:val="24"/>
          <w:szCs w:val="24"/>
        </w:rPr>
        <w:t>ostial</w:t>
      </w:r>
      <w:proofErr w:type="spellEnd"/>
      <w:r w:rsidRPr="00C0408B">
        <w:rPr>
          <w:rFonts w:asciiTheme="majorBidi" w:hAnsiTheme="majorBidi" w:cstheme="majorBidi"/>
          <w:sz w:val="24"/>
          <w:szCs w:val="24"/>
        </w:rPr>
        <w:t xml:space="preserve"> left anterior descending (LAD) artery occlusion tapered type in nature, with weak distal filling through left circumflex coronary artery (LCX), And Total right coronary artery (RCA) occlusion just prior to acute marginal branch. Right radial artery was used for arterial axis, 6F sheath inserted, XB3 guiding catheter used for left main engagement, left anterior descending (LAD) lesion crossed using tapered tip Fielder XT wire guide wire within 5 minutes. The artery </w:t>
      </w:r>
      <w:r w:rsidRPr="00C0408B">
        <w:rPr>
          <w:rFonts w:asciiTheme="majorBidi" w:hAnsiTheme="majorBidi" w:cstheme="majorBidi"/>
          <w:sz w:val="24"/>
          <w:szCs w:val="24"/>
        </w:rPr>
        <w:lastRenderedPageBreak/>
        <w:t xml:space="preserve">Pre-dilated with 2mmX15mm complaint balloon, and </w:t>
      </w:r>
      <w:proofErr w:type="spellStart"/>
      <w:r w:rsidRPr="00C0408B">
        <w:rPr>
          <w:rFonts w:asciiTheme="majorBidi" w:hAnsiTheme="majorBidi" w:cstheme="majorBidi"/>
          <w:sz w:val="24"/>
          <w:szCs w:val="24"/>
        </w:rPr>
        <w:t>Xience</w:t>
      </w:r>
      <w:proofErr w:type="spellEnd"/>
      <w:r w:rsidRPr="00C0408B">
        <w:rPr>
          <w:rFonts w:asciiTheme="majorBidi" w:hAnsiTheme="majorBidi" w:cstheme="majorBidi"/>
          <w:sz w:val="24"/>
          <w:szCs w:val="24"/>
        </w:rPr>
        <w:t>-Prime LL 3X33mm stent implanted. Post dilated with none complaint 3,5X10mm balloon.</w:t>
      </w:r>
    </w:p>
    <w:p w:rsidR="00283463" w:rsidRDefault="00283463" w:rsidP="00C0408B">
      <w:pPr>
        <w:spacing w:line="480" w:lineRule="auto"/>
        <w:jc w:val="both"/>
        <w:rPr>
          <w:rFonts w:asciiTheme="majorBidi" w:hAnsiTheme="majorBidi" w:cstheme="majorBidi"/>
          <w:sz w:val="24"/>
          <w:szCs w:val="24"/>
        </w:rPr>
      </w:pPr>
      <w:r w:rsidRPr="00C0408B">
        <w:rPr>
          <w:rFonts w:asciiTheme="majorBidi" w:hAnsiTheme="majorBidi" w:cstheme="majorBidi"/>
          <w:sz w:val="24"/>
          <w:szCs w:val="24"/>
        </w:rPr>
        <w:t xml:space="preserve">For right coronary artery, </w:t>
      </w:r>
      <w:proofErr w:type="spellStart"/>
      <w:r w:rsidRPr="00C0408B">
        <w:rPr>
          <w:rFonts w:asciiTheme="majorBidi" w:hAnsiTheme="majorBidi" w:cstheme="majorBidi"/>
          <w:sz w:val="24"/>
          <w:szCs w:val="24"/>
        </w:rPr>
        <w:t>Judkins</w:t>
      </w:r>
      <w:proofErr w:type="spellEnd"/>
      <w:r w:rsidRPr="00C0408B">
        <w:rPr>
          <w:rFonts w:asciiTheme="majorBidi" w:hAnsiTheme="majorBidi" w:cstheme="majorBidi"/>
          <w:sz w:val="24"/>
          <w:szCs w:val="24"/>
        </w:rPr>
        <w:t xml:space="preserve"> Right 3.5, guiding catheter used, lesion crossed with Fielder-XT wire while pre-dilated with 2X15mm complaint balloon. 3X38 mm </w:t>
      </w:r>
      <w:proofErr w:type="spellStart"/>
      <w:r w:rsidRPr="00C0408B">
        <w:rPr>
          <w:rFonts w:asciiTheme="majorBidi" w:hAnsiTheme="majorBidi" w:cstheme="majorBidi"/>
          <w:sz w:val="24"/>
          <w:szCs w:val="24"/>
        </w:rPr>
        <w:t>Xience</w:t>
      </w:r>
      <w:proofErr w:type="spellEnd"/>
      <w:r w:rsidRPr="00C0408B">
        <w:rPr>
          <w:rFonts w:asciiTheme="majorBidi" w:hAnsiTheme="majorBidi" w:cstheme="majorBidi"/>
          <w:sz w:val="24"/>
          <w:szCs w:val="24"/>
        </w:rPr>
        <w:t>-Prime LL stent implanted at the end. Total procedure time was 80 min</w:t>
      </w:r>
      <w:r w:rsidR="00C0408B" w:rsidRPr="00C0408B">
        <w:rPr>
          <w:rFonts w:asciiTheme="majorBidi" w:hAnsiTheme="majorBidi" w:cstheme="majorBidi"/>
          <w:sz w:val="24"/>
          <w:szCs w:val="24"/>
        </w:rPr>
        <w:t xml:space="preserve">utes. </w:t>
      </w:r>
      <w:r w:rsidRPr="00C0408B">
        <w:rPr>
          <w:rFonts w:asciiTheme="majorBidi" w:hAnsiTheme="majorBidi" w:cstheme="majorBidi"/>
          <w:sz w:val="24"/>
          <w:szCs w:val="24"/>
        </w:rPr>
        <w:t xml:space="preserve"> </w:t>
      </w:r>
    </w:p>
    <w:p w:rsidR="00C0408B" w:rsidRDefault="00C0408B" w:rsidP="00C0408B">
      <w:pPr>
        <w:spacing w:line="480" w:lineRule="auto"/>
        <w:jc w:val="both"/>
        <w:rPr>
          <w:rFonts w:asciiTheme="majorBidi" w:hAnsiTheme="majorBidi" w:cstheme="majorBidi"/>
          <w:sz w:val="24"/>
          <w:szCs w:val="24"/>
        </w:rPr>
      </w:pPr>
      <w:r w:rsidRPr="00AE2F55">
        <w:rPr>
          <w:rFonts w:asciiTheme="majorBidi" w:hAnsiTheme="majorBidi" w:cstheme="majorBidi"/>
          <w:sz w:val="24"/>
          <w:szCs w:val="24"/>
        </w:rPr>
        <w:t>The patient discharged after 24 hours with a stable condi</w:t>
      </w:r>
      <w:r>
        <w:rPr>
          <w:rFonts w:asciiTheme="majorBidi" w:hAnsiTheme="majorBidi" w:cstheme="majorBidi"/>
          <w:sz w:val="24"/>
          <w:szCs w:val="24"/>
        </w:rPr>
        <w:t>tion from hospital, in</w:t>
      </w:r>
      <w:r w:rsidRPr="00AE2F55">
        <w:rPr>
          <w:rFonts w:asciiTheme="majorBidi" w:hAnsiTheme="majorBidi" w:cstheme="majorBidi"/>
          <w:sz w:val="24"/>
          <w:szCs w:val="24"/>
        </w:rPr>
        <w:t xml:space="preserve"> foll</w:t>
      </w:r>
      <w:r>
        <w:rPr>
          <w:rFonts w:asciiTheme="majorBidi" w:hAnsiTheme="majorBidi" w:cstheme="majorBidi"/>
          <w:sz w:val="24"/>
          <w:szCs w:val="24"/>
        </w:rPr>
        <w:t>ow up visit after 2 weeks had</w:t>
      </w:r>
      <w:r w:rsidRPr="00AE2F55">
        <w:rPr>
          <w:rFonts w:asciiTheme="majorBidi" w:hAnsiTheme="majorBidi" w:cstheme="majorBidi"/>
          <w:sz w:val="24"/>
          <w:szCs w:val="24"/>
        </w:rPr>
        <w:t xml:space="preserve"> excellent condition</w:t>
      </w:r>
      <w:r>
        <w:rPr>
          <w:rFonts w:asciiTheme="majorBidi" w:hAnsiTheme="majorBidi" w:cstheme="majorBidi"/>
          <w:sz w:val="24"/>
          <w:szCs w:val="24"/>
        </w:rPr>
        <w:t>.</w:t>
      </w:r>
    </w:p>
    <w:p w:rsidR="00283463" w:rsidRPr="00C0408B" w:rsidRDefault="00283463" w:rsidP="00C0408B">
      <w:pPr>
        <w:spacing w:line="480" w:lineRule="auto"/>
        <w:jc w:val="both"/>
        <w:rPr>
          <w:rFonts w:asciiTheme="majorBidi" w:hAnsiTheme="majorBidi" w:cstheme="majorBidi"/>
          <w:b/>
          <w:bCs/>
          <w:sz w:val="24"/>
          <w:szCs w:val="24"/>
        </w:rPr>
      </w:pPr>
      <w:r w:rsidRPr="00C0408B">
        <w:rPr>
          <w:rFonts w:asciiTheme="majorBidi" w:hAnsiTheme="majorBidi" w:cstheme="majorBidi"/>
          <w:b/>
          <w:bCs/>
          <w:sz w:val="24"/>
          <w:szCs w:val="24"/>
        </w:rPr>
        <w:t>Conclusion:</w:t>
      </w:r>
      <w:r w:rsidR="00C0408B" w:rsidRPr="00C0408B">
        <w:rPr>
          <w:rFonts w:asciiTheme="majorBidi" w:hAnsiTheme="majorBidi" w:cstheme="majorBidi"/>
          <w:b/>
          <w:bCs/>
          <w:sz w:val="24"/>
          <w:szCs w:val="24"/>
        </w:rPr>
        <w:t xml:space="preserve"> i</w:t>
      </w:r>
      <w:r w:rsidR="00C0408B" w:rsidRPr="00C0408B">
        <w:rPr>
          <w:rFonts w:asciiTheme="majorBidi" w:hAnsiTheme="majorBidi" w:cstheme="majorBidi"/>
          <w:sz w:val="24"/>
          <w:szCs w:val="24"/>
        </w:rPr>
        <w:t>t is the</w:t>
      </w:r>
      <w:r w:rsidRPr="00C0408B">
        <w:rPr>
          <w:rFonts w:asciiTheme="majorBidi" w:hAnsiTheme="majorBidi" w:cstheme="majorBidi"/>
          <w:sz w:val="24"/>
          <w:szCs w:val="24"/>
        </w:rPr>
        <w:t xml:space="preserve"> responsibility to report this case of </w:t>
      </w:r>
      <w:r w:rsidRPr="00C0408B">
        <w:rPr>
          <w:rFonts w:asciiTheme="majorBidi" w:eastAsia="Calibri" w:hAnsiTheme="majorBidi" w:cstheme="majorBidi"/>
          <w:bCs/>
          <w:sz w:val="24"/>
          <w:szCs w:val="24"/>
        </w:rPr>
        <w:t>first successful revascularization of doub</w:t>
      </w:r>
      <w:r w:rsidR="00C0408B">
        <w:rPr>
          <w:rFonts w:asciiTheme="majorBidi" w:eastAsia="Calibri" w:hAnsiTheme="majorBidi" w:cstheme="majorBidi"/>
          <w:bCs/>
          <w:sz w:val="24"/>
          <w:szCs w:val="24"/>
        </w:rPr>
        <w:t>le chronic total occlusion</w:t>
      </w:r>
      <w:r w:rsidRPr="00C0408B">
        <w:rPr>
          <w:rFonts w:asciiTheme="majorBidi" w:eastAsia="Calibri" w:hAnsiTheme="majorBidi" w:cstheme="majorBidi"/>
          <w:bCs/>
          <w:sz w:val="24"/>
          <w:szCs w:val="24"/>
        </w:rPr>
        <w:t xml:space="preserve"> through Trans radial </w:t>
      </w:r>
      <w:r w:rsidR="00C0408B">
        <w:rPr>
          <w:rFonts w:asciiTheme="majorBidi" w:hAnsiTheme="majorBidi" w:cstheme="majorBidi"/>
          <w:bCs/>
          <w:sz w:val="24"/>
          <w:szCs w:val="24"/>
        </w:rPr>
        <w:t>intervention</w:t>
      </w:r>
      <w:r w:rsidRPr="00C0408B">
        <w:rPr>
          <w:rFonts w:asciiTheme="majorBidi" w:eastAsia="Calibri" w:hAnsiTheme="majorBidi" w:cstheme="majorBidi"/>
          <w:bCs/>
          <w:sz w:val="24"/>
          <w:szCs w:val="24"/>
        </w:rPr>
        <w:t xml:space="preserve"> at French Medical Institute for Children, Kabul, Afghanistan</w:t>
      </w:r>
      <w:r w:rsidRPr="00C0408B">
        <w:rPr>
          <w:rFonts w:asciiTheme="majorBidi" w:hAnsiTheme="majorBidi" w:cstheme="majorBidi"/>
          <w:sz w:val="24"/>
          <w:szCs w:val="24"/>
        </w:rPr>
        <w:t xml:space="preserve"> </w:t>
      </w:r>
      <w:r w:rsidR="00C0408B" w:rsidRPr="00C0408B">
        <w:rPr>
          <w:rFonts w:asciiTheme="majorBidi" w:hAnsiTheme="majorBidi" w:cstheme="majorBidi"/>
          <w:sz w:val="24"/>
          <w:szCs w:val="24"/>
        </w:rPr>
        <w:t>and contribute a</w:t>
      </w:r>
      <w:r w:rsidRPr="00C0408B">
        <w:rPr>
          <w:rFonts w:asciiTheme="majorBidi" w:hAnsiTheme="majorBidi" w:cstheme="majorBidi"/>
          <w:sz w:val="24"/>
          <w:szCs w:val="24"/>
        </w:rPr>
        <w:t xml:space="preserve"> part in the literature of region and country. </w:t>
      </w:r>
    </w:p>
    <w:p w:rsidR="00283463" w:rsidRPr="00C0408B" w:rsidRDefault="00283463" w:rsidP="00C0408B">
      <w:pPr>
        <w:spacing w:line="480" w:lineRule="auto"/>
        <w:jc w:val="both"/>
        <w:rPr>
          <w:rFonts w:asciiTheme="majorBidi" w:hAnsiTheme="majorBidi" w:cstheme="majorBidi"/>
          <w:b/>
          <w:bCs/>
          <w:sz w:val="24"/>
          <w:szCs w:val="24"/>
        </w:rPr>
      </w:pPr>
    </w:p>
    <w:p w:rsidR="006736F3" w:rsidRPr="00C0408B" w:rsidRDefault="006736F3" w:rsidP="00C0408B">
      <w:pPr>
        <w:jc w:val="both"/>
        <w:rPr>
          <w:rFonts w:asciiTheme="majorBidi" w:hAnsiTheme="majorBidi" w:cstheme="majorBidi"/>
          <w:sz w:val="24"/>
          <w:szCs w:val="24"/>
        </w:rPr>
      </w:pPr>
    </w:p>
    <w:sectPr w:rsidR="006736F3" w:rsidRPr="00C04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25F76"/>
    <w:multiLevelType w:val="hybridMultilevel"/>
    <w:tmpl w:val="83CA4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463"/>
    <w:rsid w:val="00283463"/>
    <w:rsid w:val="006736F3"/>
    <w:rsid w:val="00C040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2A80"/>
  <w15:chartTrackingRefBased/>
  <w15:docId w15:val="{5D7CC8C0-638E-4D1B-8288-710673D59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46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463"/>
    <w:pPr>
      <w:ind w:left="720"/>
      <w:contextualSpacing/>
    </w:pPr>
  </w:style>
  <w:style w:type="character" w:styleId="Hyperlink">
    <w:name w:val="Hyperlink"/>
    <w:basedOn w:val="DefaultParagraphFont"/>
    <w:uiPriority w:val="99"/>
    <w:unhideWhenUsed/>
    <w:rsid w:val="002834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af/search?biw=1366&amp;bih=657&amp;q=percutaneous&amp;spell=1&amp;sa=X&amp;ved=0ahUKEwjx3e-HttjRAhXHORQKHSpmAGMQvwUIFCg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Olive</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Dunya Moghul</dc:creator>
  <cp:keywords/>
  <dc:description/>
  <cp:lastModifiedBy>Dunya Moghul</cp:lastModifiedBy>
  <cp:revision>1</cp:revision>
  <dcterms:created xsi:type="dcterms:W3CDTF">2017-07-18T17:27:00Z</dcterms:created>
  <dcterms:modified xsi:type="dcterms:W3CDTF">2017-07-18T17:41:00Z</dcterms:modified>
</cp:coreProperties>
</file>