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B5C52" w:rsidP="00494130">
      <w:pPr>
        <w:pStyle w:val="Heading1"/>
        <w:spacing w:before="170"/>
        <w:ind w:left="0"/>
      </w:pPr>
      <w:r w:rsidRPr="00FB5C52">
        <w:rPr>
          <w:color w:val="337AB7"/>
        </w:rPr>
        <w:t>Use of FFR in LM Lesions</w:t>
      </w:r>
    </w:p>
    <w:p w:rsidR="005973B9" w:rsidRDefault="00FB5C52" w:rsidP="005973B9">
      <w:pPr>
        <w:pStyle w:val="BodyText"/>
        <w:spacing w:before="73" w:line="198" w:lineRule="exact"/>
        <w:ind w:left="100" w:right="5987"/>
        <w:rPr>
          <w:rFonts w:ascii="Arial"/>
        </w:rPr>
      </w:pPr>
      <w:proofErr w:type="spellStart"/>
      <w:r>
        <w:rPr>
          <w:rFonts w:ascii="Arial"/>
        </w:rPr>
        <w:t>Gursel</w:t>
      </w:r>
      <w:proofErr w:type="spellEnd"/>
      <w:r>
        <w:rPr>
          <w:rFonts w:ascii="Arial"/>
        </w:rPr>
        <w:t xml:space="preserve"> </w:t>
      </w:r>
      <w:proofErr w:type="spellStart"/>
      <w:r>
        <w:rPr>
          <w:rFonts w:ascii="Arial"/>
        </w:rPr>
        <w:t>Ates</w:t>
      </w:r>
      <w:proofErr w:type="spellEnd"/>
      <w:r>
        <w:rPr>
          <w:rFonts w:ascii="Arial"/>
        </w:rPr>
        <w:t xml:space="preserve"> MD. </w:t>
      </w:r>
      <w:proofErr w:type="spellStart"/>
      <w:r>
        <w:rPr>
          <w:rFonts w:ascii="Arial"/>
        </w:rPr>
        <w:t>Kocaeli</w:t>
      </w:r>
      <w:proofErr w:type="spellEnd"/>
      <w:r>
        <w:rPr>
          <w:rFonts w:ascii="Arial"/>
        </w:rPr>
        <w:t>, TURKEY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7D0E8A" w:rsidRDefault="007D0E8A">
      <w:pPr>
        <w:pStyle w:val="BodyText"/>
        <w:spacing w:before="90" w:line="280" w:lineRule="auto"/>
        <w:ind w:left="100"/>
        <w:jc w:val="both"/>
      </w:pPr>
      <w:r>
        <w:t>Left main coronary artery disease (LMCAD) portends higher prognostic risk as a result of the large myocardial territory at risk, ranging from 75% to 100%, depending on the dominance of the left coronary circulation. Diagnosis and management of significant LMCAD continues to be a source of clinical apprehension and uncertainty. LMCAD is not uncommonly found in stable patients undergoing coronary angiography and is often associated with concomitant coronary artery disease (CAD). Current clinical practice guidelines from both the American College of Cardiology/ American Heart Association and the European Society of Cardiology recommend revascularization for all patients with ≥50% stenosis of the left main coronary artery (LM), regardless of symptomatic status or associated ischemic burden.</w:t>
      </w:r>
    </w:p>
    <w:p w:rsidR="007D0E8A" w:rsidRDefault="00816D6A">
      <w:pPr>
        <w:pStyle w:val="BodyText"/>
        <w:spacing w:before="90" w:line="280" w:lineRule="auto"/>
        <w:ind w:left="100"/>
        <w:jc w:val="both"/>
      </w:pPr>
      <w:r>
        <w:t xml:space="preserve">Whereas IVUS is a better tool for determining the anatomical extent of disease, FFR is a better tool for assessing the hemodynamically significance of an LM stenosis. A poor correlation was noted between quantitative coronary angiography and FFR, which further highlights the shortcomings of reliance on angiography alone in evaluating LM lesions.17 Similar to non-LM lesions, </w:t>
      </w:r>
      <w:proofErr w:type="spellStart"/>
      <w:r>
        <w:t>angiographically</w:t>
      </w:r>
      <w:proofErr w:type="spellEnd"/>
      <w:r>
        <w:t xml:space="preserve"> intermediate LM lesions with an FFR of ≥0.80 can have revascularization deferred with favorable long-term outcomes.</w:t>
      </w:r>
    </w:p>
    <w:p w:rsidR="007D0E8A" w:rsidRDefault="00816D6A">
      <w:pPr>
        <w:pStyle w:val="BodyText"/>
        <w:spacing w:before="90" w:line="280" w:lineRule="auto"/>
        <w:ind w:left="100"/>
        <w:jc w:val="both"/>
      </w:pPr>
      <w:r>
        <w:t>Althoug</w:t>
      </w:r>
      <w:r w:rsidR="005B65D2">
        <w:t>h IVUS and FFR correlate well,</w:t>
      </w:r>
      <w:r>
        <w:t xml:space="preserve"> there are limitations to both techniques that may favor one modality over the other. For example, IVUS area measurements may be limited by distortion caused by minor differences in the rotational speed of the imaging element, a </w:t>
      </w:r>
      <w:proofErr w:type="spellStart"/>
      <w:r>
        <w:t>noncoaxial</w:t>
      </w:r>
      <w:proofErr w:type="spellEnd"/>
      <w:r>
        <w:t xml:space="preserve"> orientation of the catheter, or extensive arterial calcification. On the other hand, FFR may be limited by the frequent presence of significant downstream </w:t>
      </w:r>
      <w:proofErr w:type="spellStart"/>
      <w:r>
        <w:t>stenoses</w:t>
      </w:r>
      <w:proofErr w:type="spellEnd"/>
      <w:r>
        <w:t>, which may underestimate or overestimate the hemodynamic significance of the LM lesion. However, this is of more concern when there is severe disease present in both the left anterior descending and cir</w:t>
      </w:r>
      <w:r w:rsidR="005B65D2">
        <w:t xml:space="preserve">cumflex arteries. </w:t>
      </w:r>
      <w:proofErr w:type="spellStart"/>
      <w:r w:rsidR="005B65D2">
        <w:t>Fearon</w:t>
      </w:r>
      <w:proofErr w:type="spellEnd"/>
      <w:r w:rsidR="005B65D2">
        <w:t xml:space="preserve"> et al</w:t>
      </w:r>
      <w:r>
        <w:t xml:space="preserve"> showed that when only one major branch of the left main has severe disease, downstream disease does not have a clinically relevant impact on the evaluation of intermediate LM stenosis with the pressure wire placed in the </w:t>
      </w:r>
      <w:proofErr w:type="spellStart"/>
      <w:r>
        <w:t>nondiseased</w:t>
      </w:r>
      <w:proofErr w:type="spellEnd"/>
      <w:r>
        <w:t xml:space="preserve"> branch. Based on their findings, if the FFR of the LM is either ≤0.80 or &gt;0.85, then it can be assumed that the LM lesion is hemodynamically significant or insignificant, respectively. However, if the FFR is between 0.81 and 0.85, then the hemodynamic </w:t>
      </w:r>
      <w:r>
        <w:lastRenderedPageBreak/>
        <w:t xml:space="preserve">significance of the LM lesion cannot be accurately determined if the combined FFR of the LM and the downstream disease is ≤0.45.30 </w:t>
      </w:r>
      <w:proofErr w:type="gramStart"/>
      <w:r>
        <w:t>In</w:t>
      </w:r>
      <w:proofErr w:type="gramEnd"/>
      <w:r>
        <w:t xml:space="preserve"> such situations, IVUS guidance is preferred. Accordingly, in the modern era of contemporary CAD decision-making, an</w:t>
      </w:r>
      <w:r>
        <w:t xml:space="preserve"> </w:t>
      </w:r>
      <w:r>
        <w:t>invasive assessment of stenosis severity is certainly complementary to a purely angiographic assessment and may be superior.</w:t>
      </w:r>
    </w:p>
    <w:p w:rsidR="005973B9" w:rsidRDefault="005973B9" w:rsidP="005973B9">
      <w:pPr>
        <w:spacing w:line="204" w:lineRule="exact"/>
        <w:rPr>
          <w:rFonts w:ascii="Arial"/>
          <w:b/>
          <w:sz w:val="20"/>
        </w:rPr>
      </w:pPr>
      <w:r>
        <w:rPr>
          <w:rFonts w:ascii="Arial"/>
          <w:b/>
          <w:color w:val="BF5A14"/>
          <w:sz w:val="20"/>
        </w:rPr>
        <w:br/>
        <w:t xml:space="preserve">Recent Publications </w:t>
      </w:r>
    </w:p>
    <w:p w:rsidR="009F3AD3" w:rsidRPr="009F3AD3" w:rsidRDefault="009F3AD3" w:rsidP="005973B9">
      <w:pPr>
        <w:pStyle w:val="ListParagraph"/>
        <w:numPr>
          <w:ilvl w:val="0"/>
          <w:numId w:val="3"/>
        </w:numPr>
        <w:tabs>
          <w:tab w:val="left" w:pos="384"/>
        </w:tabs>
        <w:spacing w:before="103" w:line="216" w:lineRule="exact"/>
        <w:ind w:right="138" w:hanging="283"/>
        <w:rPr>
          <w:sz w:val="18"/>
        </w:rPr>
      </w:pPr>
      <w:r w:rsidRPr="009F3AD3">
        <w:rPr>
          <w:sz w:val="18"/>
        </w:rPr>
        <w:t xml:space="preserve">Levine GN, Bates ER, Blankenship JC, Bailey SR, </w:t>
      </w:r>
      <w:proofErr w:type="spellStart"/>
      <w:r w:rsidRPr="009F3AD3">
        <w:rPr>
          <w:sz w:val="18"/>
        </w:rPr>
        <w:t>Bittl</w:t>
      </w:r>
      <w:proofErr w:type="spellEnd"/>
      <w:r w:rsidRPr="009F3AD3">
        <w:rPr>
          <w:sz w:val="18"/>
        </w:rPr>
        <w:t xml:space="preserve"> JA, </w:t>
      </w:r>
      <w:proofErr w:type="spellStart"/>
      <w:r w:rsidRPr="009F3AD3">
        <w:rPr>
          <w:sz w:val="18"/>
        </w:rPr>
        <w:t>Cercek</w:t>
      </w:r>
      <w:proofErr w:type="spellEnd"/>
      <w:r w:rsidRPr="009F3AD3">
        <w:rPr>
          <w:sz w:val="18"/>
        </w:rPr>
        <w:t xml:space="preserve"> B, Chambers CE, Ellis SG, Guyton RA, </w:t>
      </w:r>
      <w:proofErr w:type="spellStart"/>
      <w:r w:rsidRPr="009F3AD3">
        <w:rPr>
          <w:sz w:val="18"/>
        </w:rPr>
        <w:t>Hollenberg</w:t>
      </w:r>
      <w:proofErr w:type="spellEnd"/>
      <w:r w:rsidRPr="009F3AD3">
        <w:rPr>
          <w:sz w:val="18"/>
        </w:rPr>
        <w:t xml:space="preserve"> SM, </w:t>
      </w:r>
      <w:proofErr w:type="spellStart"/>
      <w:r w:rsidRPr="009F3AD3">
        <w:rPr>
          <w:sz w:val="18"/>
        </w:rPr>
        <w:t>Khot</w:t>
      </w:r>
      <w:proofErr w:type="spellEnd"/>
      <w:r w:rsidRPr="009F3AD3">
        <w:rPr>
          <w:sz w:val="18"/>
        </w:rPr>
        <w:t xml:space="preserve"> UN, Lange RA, Mauri L, Mehran R, Moussa ID, Mukherjee D, </w:t>
      </w:r>
      <w:proofErr w:type="spellStart"/>
      <w:r w:rsidRPr="009F3AD3">
        <w:rPr>
          <w:sz w:val="18"/>
        </w:rPr>
        <w:t>Nallamothu</w:t>
      </w:r>
      <w:proofErr w:type="spellEnd"/>
      <w:r w:rsidRPr="009F3AD3">
        <w:rPr>
          <w:sz w:val="18"/>
        </w:rPr>
        <w:t xml:space="preserve"> BK, Ting HH</w:t>
      </w:r>
      <w:proofErr w:type="gramStart"/>
      <w:r w:rsidRPr="009F3AD3">
        <w:rPr>
          <w:sz w:val="18"/>
        </w:rPr>
        <w:t>.</w:t>
      </w:r>
      <w:r>
        <w:rPr>
          <w:sz w:val="18"/>
        </w:rPr>
        <w:t>(</w:t>
      </w:r>
      <w:proofErr w:type="gramEnd"/>
      <w:r w:rsidRPr="009F3AD3">
        <w:rPr>
          <w:sz w:val="18"/>
        </w:rPr>
        <w:t xml:space="preserve"> </w:t>
      </w:r>
      <w:r w:rsidRPr="009F3AD3">
        <w:rPr>
          <w:sz w:val="18"/>
        </w:rPr>
        <w:t>2011</w:t>
      </w:r>
      <w:r>
        <w:rPr>
          <w:sz w:val="18"/>
        </w:rPr>
        <w:t>)</w:t>
      </w:r>
      <w:r w:rsidRPr="009F3AD3">
        <w:rPr>
          <w:sz w:val="18"/>
        </w:rPr>
        <w:t xml:space="preserve"> 2011 ACCF/AHA/SCAI guideline for percutaneous coronary intervention: executive summary: a report of the American College of Cardiology Foundation/American Heart Association Task Force on Practice Guidelines and the Society for Cardiovascular Angiography</w:t>
      </w:r>
      <w:r>
        <w:rPr>
          <w:sz w:val="18"/>
        </w:rPr>
        <w:t xml:space="preserve"> and Interventions. Circulation </w:t>
      </w:r>
      <w:r w:rsidRPr="009F3AD3">
        <w:rPr>
          <w:sz w:val="18"/>
        </w:rPr>
        <w:t>124:2574– 2609.</w:t>
      </w:r>
    </w:p>
    <w:p w:rsidR="009F3AD3" w:rsidRPr="009F3AD3" w:rsidRDefault="009F3AD3" w:rsidP="005973B9">
      <w:pPr>
        <w:pStyle w:val="ListParagraph"/>
        <w:numPr>
          <w:ilvl w:val="0"/>
          <w:numId w:val="3"/>
        </w:numPr>
        <w:tabs>
          <w:tab w:val="left" w:pos="384"/>
        </w:tabs>
        <w:spacing w:before="103" w:line="216" w:lineRule="exact"/>
        <w:ind w:right="138" w:hanging="283"/>
        <w:rPr>
          <w:sz w:val="18"/>
        </w:rPr>
      </w:pPr>
      <w:proofErr w:type="spellStart"/>
      <w:r w:rsidRPr="009F3AD3">
        <w:rPr>
          <w:sz w:val="18"/>
        </w:rPr>
        <w:t>Hamilos</w:t>
      </w:r>
      <w:proofErr w:type="spellEnd"/>
      <w:r w:rsidRPr="009F3AD3">
        <w:rPr>
          <w:sz w:val="18"/>
        </w:rPr>
        <w:t xml:space="preserve"> M, Muller O, </w:t>
      </w:r>
      <w:proofErr w:type="spellStart"/>
      <w:r w:rsidRPr="009F3AD3">
        <w:rPr>
          <w:sz w:val="18"/>
        </w:rPr>
        <w:t>Cuisset</w:t>
      </w:r>
      <w:proofErr w:type="spellEnd"/>
      <w:r w:rsidRPr="009F3AD3">
        <w:rPr>
          <w:sz w:val="18"/>
        </w:rPr>
        <w:t xml:space="preserve"> T, </w:t>
      </w:r>
      <w:proofErr w:type="spellStart"/>
      <w:r w:rsidRPr="009F3AD3">
        <w:rPr>
          <w:sz w:val="18"/>
        </w:rPr>
        <w:t>Ntalianis</w:t>
      </w:r>
      <w:proofErr w:type="spellEnd"/>
      <w:r w:rsidRPr="009F3AD3">
        <w:rPr>
          <w:sz w:val="18"/>
        </w:rPr>
        <w:t xml:space="preserve"> A, </w:t>
      </w:r>
      <w:proofErr w:type="spellStart"/>
      <w:r w:rsidRPr="009F3AD3">
        <w:rPr>
          <w:sz w:val="18"/>
        </w:rPr>
        <w:t>Chlouverakis</w:t>
      </w:r>
      <w:proofErr w:type="spellEnd"/>
      <w:r w:rsidRPr="009F3AD3">
        <w:rPr>
          <w:sz w:val="18"/>
        </w:rPr>
        <w:t xml:space="preserve"> G, </w:t>
      </w:r>
      <w:proofErr w:type="spellStart"/>
      <w:r w:rsidRPr="009F3AD3">
        <w:rPr>
          <w:sz w:val="18"/>
        </w:rPr>
        <w:t>Sarno</w:t>
      </w:r>
      <w:proofErr w:type="spellEnd"/>
      <w:r w:rsidRPr="009F3AD3">
        <w:rPr>
          <w:sz w:val="18"/>
        </w:rPr>
        <w:t xml:space="preserve"> G, </w:t>
      </w:r>
      <w:proofErr w:type="spellStart"/>
      <w:r w:rsidRPr="009F3AD3">
        <w:rPr>
          <w:sz w:val="18"/>
        </w:rPr>
        <w:t>Nelis</w:t>
      </w:r>
      <w:proofErr w:type="spellEnd"/>
      <w:r w:rsidRPr="009F3AD3">
        <w:rPr>
          <w:sz w:val="18"/>
        </w:rPr>
        <w:t xml:space="preserve"> O, </w:t>
      </w:r>
      <w:proofErr w:type="spellStart"/>
      <w:r w:rsidRPr="009F3AD3">
        <w:rPr>
          <w:sz w:val="18"/>
        </w:rPr>
        <w:t>Bartunek</w:t>
      </w:r>
      <w:proofErr w:type="spellEnd"/>
      <w:r w:rsidRPr="009F3AD3">
        <w:rPr>
          <w:sz w:val="18"/>
        </w:rPr>
        <w:t xml:space="preserve"> J, </w:t>
      </w:r>
      <w:proofErr w:type="spellStart"/>
      <w:r w:rsidRPr="009F3AD3">
        <w:rPr>
          <w:sz w:val="18"/>
        </w:rPr>
        <w:t>Vanderheyden</w:t>
      </w:r>
      <w:proofErr w:type="spellEnd"/>
      <w:r w:rsidRPr="009F3AD3">
        <w:rPr>
          <w:sz w:val="18"/>
        </w:rPr>
        <w:t xml:space="preserve"> M, </w:t>
      </w:r>
      <w:proofErr w:type="spellStart"/>
      <w:r w:rsidRPr="009F3AD3">
        <w:rPr>
          <w:sz w:val="18"/>
        </w:rPr>
        <w:t>Wyffels</w:t>
      </w:r>
      <w:proofErr w:type="spellEnd"/>
      <w:r w:rsidRPr="009F3AD3">
        <w:rPr>
          <w:sz w:val="18"/>
        </w:rPr>
        <w:t xml:space="preserve"> E, </w:t>
      </w:r>
      <w:proofErr w:type="spellStart"/>
      <w:r w:rsidRPr="009F3AD3">
        <w:rPr>
          <w:sz w:val="18"/>
        </w:rPr>
        <w:t>Barbato</w:t>
      </w:r>
      <w:proofErr w:type="spellEnd"/>
      <w:r w:rsidRPr="009F3AD3">
        <w:rPr>
          <w:sz w:val="18"/>
        </w:rPr>
        <w:t xml:space="preserve"> E, </w:t>
      </w:r>
      <w:proofErr w:type="spellStart"/>
      <w:r w:rsidRPr="009F3AD3">
        <w:rPr>
          <w:sz w:val="18"/>
        </w:rPr>
        <w:t>Heyndrickx</w:t>
      </w:r>
      <w:proofErr w:type="spellEnd"/>
      <w:r w:rsidRPr="009F3AD3">
        <w:rPr>
          <w:sz w:val="18"/>
        </w:rPr>
        <w:t xml:space="preserve"> GR, </w:t>
      </w:r>
      <w:proofErr w:type="spellStart"/>
      <w:r w:rsidRPr="009F3AD3">
        <w:rPr>
          <w:sz w:val="18"/>
        </w:rPr>
        <w:t>Wijns</w:t>
      </w:r>
      <w:proofErr w:type="spellEnd"/>
      <w:r w:rsidRPr="009F3AD3">
        <w:rPr>
          <w:sz w:val="18"/>
        </w:rPr>
        <w:t xml:space="preserve"> W, De </w:t>
      </w:r>
      <w:proofErr w:type="spellStart"/>
      <w:r w:rsidRPr="009F3AD3">
        <w:rPr>
          <w:sz w:val="18"/>
        </w:rPr>
        <w:t>Bruyne</w:t>
      </w:r>
      <w:proofErr w:type="spellEnd"/>
      <w:r w:rsidRPr="009F3AD3">
        <w:rPr>
          <w:sz w:val="18"/>
        </w:rPr>
        <w:t xml:space="preserve"> B.</w:t>
      </w:r>
      <w:r>
        <w:rPr>
          <w:sz w:val="18"/>
        </w:rPr>
        <w:t>(</w:t>
      </w:r>
      <w:r w:rsidRPr="009F3AD3">
        <w:rPr>
          <w:sz w:val="18"/>
        </w:rPr>
        <w:t xml:space="preserve"> </w:t>
      </w:r>
      <w:r>
        <w:rPr>
          <w:sz w:val="18"/>
        </w:rPr>
        <w:t>2009)</w:t>
      </w:r>
      <w:r w:rsidRPr="009F3AD3">
        <w:rPr>
          <w:sz w:val="18"/>
        </w:rPr>
        <w:t xml:space="preserve"> Long-term clinical outcome after fractional flow reserve-guided treatment in patients with </w:t>
      </w:r>
      <w:proofErr w:type="spellStart"/>
      <w:r w:rsidRPr="009F3AD3">
        <w:rPr>
          <w:sz w:val="18"/>
        </w:rPr>
        <w:t>angiographically</w:t>
      </w:r>
      <w:proofErr w:type="spellEnd"/>
      <w:r w:rsidRPr="009F3AD3">
        <w:rPr>
          <w:sz w:val="18"/>
        </w:rPr>
        <w:t xml:space="preserve"> equivocal left main coronary artery stenosis. Circulation. 120:1505–1512.</w:t>
      </w:r>
    </w:p>
    <w:p w:rsidR="009F3AD3" w:rsidRPr="009F3AD3" w:rsidRDefault="009F3AD3" w:rsidP="005973B9">
      <w:pPr>
        <w:pStyle w:val="ListParagraph"/>
        <w:numPr>
          <w:ilvl w:val="0"/>
          <w:numId w:val="3"/>
        </w:numPr>
        <w:tabs>
          <w:tab w:val="left" w:pos="384"/>
        </w:tabs>
        <w:spacing w:before="103" w:line="216" w:lineRule="exact"/>
        <w:ind w:right="138" w:hanging="283"/>
        <w:rPr>
          <w:sz w:val="18"/>
        </w:rPr>
      </w:pPr>
      <w:proofErr w:type="spellStart"/>
      <w:r w:rsidRPr="009F3AD3">
        <w:rPr>
          <w:sz w:val="18"/>
        </w:rPr>
        <w:t>Nascimento</w:t>
      </w:r>
      <w:proofErr w:type="spellEnd"/>
      <w:r w:rsidRPr="009F3AD3">
        <w:rPr>
          <w:sz w:val="18"/>
        </w:rPr>
        <w:t xml:space="preserve"> BR, de Sousa MR, Koo BK, </w:t>
      </w:r>
      <w:proofErr w:type="spellStart"/>
      <w:r w:rsidRPr="009F3AD3">
        <w:rPr>
          <w:sz w:val="18"/>
        </w:rPr>
        <w:t>Samady</w:t>
      </w:r>
      <w:proofErr w:type="spellEnd"/>
      <w:r w:rsidRPr="009F3AD3">
        <w:rPr>
          <w:sz w:val="18"/>
        </w:rPr>
        <w:t xml:space="preserve"> H, </w:t>
      </w:r>
      <w:proofErr w:type="spellStart"/>
      <w:r w:rsidRPr="009F3AD3">
        <w:rPr>
          <w:sz w:val="18"/>
        </w:rPr>
        <w:t>Bezerra</w:t>
      </w:r>
      <w:proofErr w:type="spellEnd"/>
      <w:r w:rsidRPr="009F3AD3">
        <w:rPr>
          <w:sz w:val="18"/>
        </w:rPr>
        <w:t xml:space="preserve"> HG, Ribeiro AL, Costa MA.</w:t>
      </w:r>
      <w:r>
        <w:rPr>
          <w:sz w:val="18"/>
        </w:rPr>
        <w:t>(</w:t>
      </w:r>
      <w:r w:rsidRPr="009F3AD3">
        <w:rPr>
          <w:sz w:val="18"/>
        </w:rPr>
        <w:t xml:space="preserve"> </w:t>
      </w:r>
      <w:r>
        <w:rPr>
          <w:sz w:val="18"/>
        </w:rPr>
        <w:t>2014)</w:t>
      </w:r>
      <w:r w:rsidRPr="009F3AD3">
        <w:rPr>
          <w:sz w:val="18"/>
        </w:rPr>
        <w:t xml:space="preserve"> Diagnostic accuracy of intravascular ultrasound-derived minimal lumen area compared with fractional flow reserve—meta-analysis: pooled accuracy of IVUS luminal area versus FFR. Catheter </w:t>
      </w:r>
      <w:proofErr w:type="spellStart"/>
      <w:r w:rsidRPr="009F3AD3">
        <w:rPr>
          <w:sz w:val="18"/>
        </w:rPr>
        <w:t>Cardiovasc</w:t>
      </w:r>
      <w:proofErr w:type="spellEnd"/>
      <w:r w:rsidRPr="009F3AD3">
        <w:rPr>
          <w:sz w:val="18"/>
        </w:rPr>
        <w:t xml:space="preserve"> </w:t>
      </w:r>
      <w:proofErr w:type="spellStart"/>
      <w:r w:rsidRPr="009F3AD3">
        <w:rPr>
          <w:sz w:val="18"/>
        </w:rPr>
        <w:t>Interv</w:t>
      </w:r>
      <w:proofErr w:type="spellEnd"/>
      <w:r w:rsidRPr="009F3AD3">
        <w:rPr>
          <w:sz w:val="18"/>
        </w:rPr>
        <w:t xml:space="preserve">. 84:377–385. </w:t>
      </w:r>
    </w:p>
    <w:p w:rsidR="009F3AD3" w:rsidRPr="009F3AD3" w:rsidRDefault="009F3AD3" w:rsidP="005973B9">
      <w:pPr>
        <w:pStyle w:val="ListParagraph"/>
        <w:numPr>
          <w:ilvl w:val="0"/>
          <w:numId w:val="3"/>
        </w:numPr>
        <w:tabs>
          <w:tab w:val="left" w:pos="384"/>
        </w:tabs>
        <w:spacing w:before="103" w:line="216" w:lineRule="exact"/>
        <w:ind w:right="138" w:hanging="283"/>
        <w:rPr>
          <w:sz w:val="18"/>
        </w:rPr>
      </w:pPr>
      <w:r w:rsidRPr="009F3AD3">
        <w:rPr>
          <w:sz w:val="18"/>
        </w:rPr>
        <w:t xml:space="preserve">30. </w:t>
      </w:r>
      <w:proofErr w:type="spellStart"/>
      <w:r w:rsidRPr="009F3AD3">
        <w:rPr>
          <w:sz w:val="18"/>
        </w:rPr>
        <w:t>Fearon</w:t>
      </w:r>
      <w:proofErr w:type="spellEnd"/>
      <w:r w:rsidRPr="009F3AD3">
        <w:rPr>
          <w:sz w:val="18"/>
        </w:rPr>
        <w:t xml:space="preserve"> WF, Yong AS, Lenders G, </w:t>
      </w:r>
      <w:proofErr w:type="spellStart"/>
      <w:r w:rsidRPr="009F3AD3">
        <w:rPr>
          <w:sz w:val="18"/>
        </w:rPr>
        <w:t>Toth</w:t>
      </w:r>
      <w:proofErr w:type="spellEnd"/>
      <w:r w:rsidRPr="009F3AD3">
        <w:rPr>
          <w:sz w:val="18"/>
        </w:rPr>
        <w:t xml:space="preserve"> GG, Dao C, Daniels DV, </w:t>
      </w:r>
      <w:proofErr w:type="spellStart"/>
      <w:r w:rsidRPr="009F3AD3">
        <w:rPr>
          <w:sz w:val="18"/>
        </w:rPr>
        <w:t>Pijls</w:t>
      </w:r>
      <w:proofErr w:type="spellEnd"/>
      <w:r w:rsidRPr="009F3AD3">
        <w:rPr>
          <w:sz w:val="18"/>
        </w:rPr>
        <w:t xml:space="preserve"> NH, De </w:t>
      </w:r>
      <w:proofErr w:type="spellStart"/>
      <w:r w:rsidRPr="009F3AD3">
        <w:rPr>
          <w:sz w:val="18"/>
        </w:rPr>
        <w:t>Bruyne</w:t>
      </w:r>
      <w:proofErr w:type="spellEnd"/>
      <w:r w:rsidRPr="009F3AD3">
        <w:rPr>
          <w:sz w:val="18"/>
        </w:rPr>
        <w:t xml:space="preserve"> B.</w:t>
      </w:r>
      <w:r>
        <w:rPr>
          <w:sz w:val="18"/>
        </w:rPr>
        <w:t>(</w:t>
      </w:r>
      <w:r w:rsidRPr="009F3AD3">
        <w:rPr>
          <w:sz w:val="18"/>
        </w:rPr>
        <w:t xml:space="preserve"> </w:t>
      </w:r>
      <w:r>
        <w:rPr>
          <w:sz w:val="18"/>
        </w:rPr>
        <w:t>2015)</w:t>
      </w:r>
      <w:r w:rsidRPr="009F3AD3">
        <w:rPr>
          <w:sz w:val="18"/>
        </w:rPr>
        <w:t xml:space="preserve"> The impact of downstream coronary stenosis on fractional flow reserve assessment of intermediate left main coronary artery disease: human validation. JACC </w:t>
      </w:r>
      <w:proofErr w:type="spellStart"/>
      <w:r w:rsidRPr="009F3AD3">
        <w:rPr>
          <w:sz w:val="18"/>
        </w:rPr>
        <w:t>Cardiovasc</w:t>
      </w:r>
      <w:proofErr w:type="spellEnd"/>
      <w:r w:rsidRPr="009F3AD3">
        <w:rPr>
          <w:sz w:val="18"/>
        </w:rPr>
        <w:t xml:space="preserve"> </w:t>
      </w:r>
      <w:proofErr w:type="spellStart"/>
      <w:r w:rsidRPr="009F3AD3">
        <w:rPr>
          <w:sz w:val="18"/>
        </w:rPr>
        <w:t>Interv</w:t>
      </w:r>
      <w:proofErr w:type="spellEnd"/>
      <w:r w:rsidRPr="009F3AD3">
        <w:rPr>
          <w:sz w:val="18"/>
        </w:rPr>
        <w:t xml:space="preserve">. 8:398–403. </w:t>
      </w:r>
    </w:p>
    <w:p w:rsidR="009F3AD3" w:rsidRPr="009F3AD3" w:rsidRDefault="009F3AD3" w:rsidP="005973B9">
      <w:pPr>
        <w:pStyle w:val="ListParagraph"/>
        <w:numPr>
          <w:ilvl w:val="0"/>
          <w:numId w:val="3"/>
        </w:numPr>
        <w:tabs>
          <w:tab w:val="left" w:pos="384"/>
        </w:tabs>
        <w:spacing w:before="103" w:line="216" w:lineRule="exact"/>
        <w:ind w:right="138" w:hanging="283"/>
        <w:rPr>
          <w:sz w:val="18"/>
        </w:rPr>
      </w:pPr>
      <w:r w:rsidRPr="009F3AD3">
        <w:rPr>
          <w:sz w:val="18"/>
        </w:rPr>
        <w:t xml:space="preserve">31. </w:t>
      </w:r>
      <w:proofErr w:type="spellStart"/>
      <w:r w:rsidRPr="009F3AD3">
        <w:rPr>
          <w:sz w:val="18"/>
        </w:rPr>
        <w:t>Nappi</w:t>
      </w:r>
      <w:proofErr w:type="spellEnd"/>
      <w:r w:rsidRPr="009F3AD3">
        <w:rPr>
          <w:sz w:val="18"/>
        </w:rPr>
        <w:t xml:space="preserve"> AG, Boden WE</w:t>
      </w:r>
      <w:proofErr w:type="gramStart"/>
      <w:r w:rsidRPr="009F3AD3">
        <w:rPr>
          <w:sz w:val="18"/>
        </w:rPr>
        <w:t>.</w:t>
      </w:r>
      <w:r>
        <w:rPr>
          <w:sz w:val="18"/>
        </w:rPr>
        <w:t>(</w:t>
      </w:r>
      <w:proofErr w:type="gramEnd"/>
      <w:r w:rsidRPr="009F3AD3">
        <w:rPr>
          <w:sz w:val="18"/>
        </w:rPr>
        <w:t xml:space="preserve"> </w:t>
      </w:r>
      <w:r>
        <w:rPr>
          <w:sz w:val="18"/>
        </w:rPr>
        <w:t>2016)</w:t>
      </w:r>
      <w:r w:rsidRPr="009F3AD3">
        <w:rPr>
          <w:sz w:val="18"/>
        </w:rPr>
        <w:t xml:space="preserve"> Does physiology trump anatomy as the “Best Course” to guide PCI decision making and outcomes? J Am </w:t>
      </w:r>
      <w:proofErr w:type="spellStart"/>
      <w:r w:rsidRPr="009F3AD3">
        <w:rPr>
          <w:sz w:val="18"/>
        </w:rPr>
        <w:t>Coll</w:t>
      </w:r>
      <w:proofErr w:type="spellEnd"/>
      <w:r w:rsidRPr="009F3AD3">
        <w:rPr>
          <w:sz w:val="18"/>
        </w:rPr>
        <w:t xml:space="preserve"> </w:t>
      </w:r>
      <w:proofErr w:type="spellStart"/>
      <w:r w:rsidRPr="009F3AD3">
        <w:rPr>
          <w:sz w:val="18"/>
        </w:rPr>
        <w:t>Cardiol</w:t>
      </w:r>
      <w:proofErr w:type="spellEnd"/>
      <w:r w:rsidRPr="009F3AD3">
        <w:rPr>
          <w:sz w:val="18"/>
        </w:rPr>
        <w:t>. 67:1712– 1714.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B65D2">
        <w:rPr>
          <w:rFonts w:ascii="Arial"/>
          <w:noProof/>
          <w:color w:val="BF5A14"/>
        </w:rPr>
        <w:drawing>
          <wp:inline distT="0" distB="0" distL="0" distR="0">
            <wp:extent cx="1676400" cy="114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_67484.jpg"/>
                    <pic:cNvPicPr/>
                  </pic:nvPicPr>
                  <pic:blipFill>
                    <a:blip r:embed="rId10">
                      <a:extLst>
                        <a:ext uri="{28A0092B-C50C-407E-A947-70E740481C1C}">
                          <a14:useLocalDpi xmlns:a14="http://schemas.microsoft.com/office/drawing/2010/main" val="0"/>
                        </a:ext>
                      </a:extLst>
                    </a:blip>
                    <a:stretch>
                      <a:fillRect/>
                    </a:stretch>
                  </pic:blipFill>
                  <pic:spPr>
                    <a:xfrm>
                      <a:off x="0" y="0"/>
                      <a:ext cx="1676400" cy="11430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E10D1B">
      <w:pPr>
        <w:spacing w:before="41" w:line="154" w:lineRule="exact"/>
        <w:ind w:left="213" w:right="231"/>
        <w:jc w:val="both"/>
        <w:rPr>
          <w:rFonts w:ascii="Arial"/>
          <w:sz w:val="14"/>
        </w:rPr>
      </w:pPr>
      <w:proofErr w:type="spellStart"/>
      <w:r>
        <w:rPr>
          <w:rFonts w:ascii="Arial"/>
          <w:sz w:val="14"/>
        </w:rPr>
        <w:t>Gursel</w:t>
      </w:r>
      <w:proofErr w:type="spellEnd"/>
      <w:r>
        <w:rPr>
          <w:rFonts w:ascii="Arial"/>
          <w:sz w:val="14"/>
        </w:rPr>
        <w:t xml:space="preserve"> </w:t>
      </w:r>
      <w:proofErr w:type="spellStart"/>
      <w:r>
        <w:rPr>
          <w:rFonts w:ascii="Arial"/>
          <w:sz w:val="14"/>
        </w:rPr>
        <w:t>Ates</w:t>
      </w:r>
      <w:proofErr w:type="spellEnd"/>
      <w:r w:rsidR="00A9710C">
        <w:rPr>
          <w:rFonts w:ascii="Arial"/>
          <w:sz w:val="14"/>
        </w:rPr>
        <w:t xml:space="preserve"> has h</w:t>
      </w:r>
      <w:r>
        <w:rPr>
          <w:rFonts w:ascii="Arial"/>
          <w:sz w:val="14"/>
        </w:rPr>
        <w:t xml:space="preserve">is </w:t>
      </w:r>
      <w:r w:rsidR="00A9710C">
        <w:rPr>
          <w:rFonts w:ascii="Arial"/>
          <w:sz w:val="14"/>
        </w:rPr>
        <w:t xml:space="preserve">expertise in </w:t>
      </w:r>
      <w:r>
        <w:rPr>
          <w:rFonts w:ascii="Arial"/>
          <w:sz w:val="14"/>
        </w:rPr>
        <w:t>interventional cardiology and coronary physiology</w:t>
      </w:r>
      <w:r w:rsidR="00A9710C">
        <w:rPr>
          <w:rFonts w:ascii="Arial"/>
          <w:sz w:val="14"/>
        </w:rPr>
        <w:t>. H</w:t>
      </w:r>
      <w:r>
        <w:rPr>
          <w:rFonts w:ascii="Arial"/>
          <w:sz w:val="14"/>
        </w:rPr>
        <w:t xml:space="preserve">e is also %100 radial operator for coronary interventions. He combined physiology knowledge with coronary anatomy. He </w:t>
      </w:r>
      <w:r w:rsidR="00553EBE">
        <w:rPr>
          <w:rFonts w:ascii="Arial"/>
          <w:sz w:val="14"/>
        </w:rPr>
        <w:t xml:space="preserve">is an experienced LM, </w:t>
      </w:r>
      <w:proofErr w:type="spellStart"/>
      <w:r w:rsidR="00553EBE">
        <w:rPr>
          <w:rFonts w:ascii="Arial"/>
          <w:sz w:val="14"/>
        </w:rPr>
        <w:t>Bifurcatio</w:t>
      </w:r>
      <w:proofErr w:type="spellEnd"/>
      <w:r w:rsidR="00553EBE">
        <w:rPr>
          <w:rFonts w:ascii="Arial"/>
          <w:sz w:val="14"/>
        </w:rPr>
        <w:t xml:space="preserve"> and CTO operator. </w:t>
      </w:r>
    </w:p>
    <w:p w:rsidR="00AE3E37" w:rsidRDefault="00A9710C">
      <w:pPr>
        <w:spacing w:before="62"/>
        <w:ind w:left="4217" w:right="4235"/>
        <w:jc w:val="center"/>
        <w:rPr>
          <w:rFonts w:ascii="Arial"/>
          <w:sz w:val="14"/>
        </w:rPr>
      </w:pPr>
      <w:r>
        <w:rPr>
          <w:rFonts w:ascii="Arial"/>
          <w:sz w:val="14"/>
        </w:rPr>
        <w:t xml:space="preserve">Email: </w:t>
      </w:r>
      <w:hyperlink r:id="rId11" w:history="1">
        <w:r w:rsidR="00553EBE" w:rsidRPr="00370132">
          <w:rPr>
            <w:rStyle w:val="Hyperlink"/>
            <w:rFonts w:ascii="Arial"/>
            <w:sz w:val="14"/>
          </w:rPr>
          <w:t>gurates@gmail.com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5B65D2" w:rsidRDefault="00A9710C" w:rsidP="005B65D2">
      <w:pPr>
        <w:spacing w:before="39"/>
        <w:ind w:left="100"/>
        <w:rPr>
          <w:rFonts w:ascii="Minion Pro"/>
          <w:b/>
          <w:sz w:val="20"/>
        </w:rPr>
        <w:sectPr w:rsidR="00AE3E37" w:rsidRPr="005B65D2">
          <w:type w:val="continuous"/>
          <w:pgSz w:w="11910" w:h="16840"/>
          <w:pgMar w:top="1740" w:right="600" w:bottom="840" w:left="620" w:header="720" w:footer="720" w:gutter="0"/>
          <w:cols w:space="720"/>
        </w:sectPr>
      </w:pPr>
      <w:r w:rsidRPr="00B21A57">
        <w:rPr>
          <w:rFonts w:ascii="Minion Pro"/>
          <w:b/>
          <w:sz w:val="20"/>
        </w:rPr>
        <w:t>Notes/Comments:</w:t>
      </w: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0F7" w:rsidRDefault="00E210F7">
      <w:r>
        <w:separator/>
      </w:r>
    </w:p>
  </w:endnote>
  <w:endnote w:type="continuationSeparator" w:id="0">
    <w:p w:rsidR="00E210F7" w:rsidRDefault="00E21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E8A" w:rsidRDefault="007D0E8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E8A" w:rsidRPr="005B3A56" w:rsidRDefault="007D0E8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D0E8A" w:rsidRPr="005B3A56" w:rsidRDefault="007D0E8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7D0E8A" w:rsidRPr="005B3A56" w:rsidRDefault="007D0E8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D0E8A" w:rsidRPr="005B3A56" w:rsidRDefault="007D0E8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E8A" w:rsidRPr="005B3A56" w:rsidRDefault="007D0E8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D0E8A" w:rsidRPr="005B3A56" w:rsidRDefault="007D0E8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D0E8A" w:rsidRPr="005B3A56" w:rsidRDefault="007D0E8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D0E8A" w:rsidRPr="005B3A56" w:rsidRDefault="007D0E8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E8A" w:rsidRPr="005B3A56" w:rsidRDefault="007D0E8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D0E8A" w:rsidRPr="005B3A56" w:rsidRDefault="007D0E8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D0E8A" w:rsidRPr="005B3A56" w:rsidRDefault="007D0E8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7D0E8A" w:rsidRPr="005B3A56" w:rsidRDefault="007D0E8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0F7" w:rsidRDefault="00E210F7">
      <w:r>
        <w:separator/>
      </w:r>
    </w:p>
  </w:footnote>
  <w:footnote w:type="continuationSeparator" w:id="0">
    <w:p w:rsidR="00E210F7" w:rsidRDefault="00E210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E8A" w:rsidRDefault="007D0E8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E8A" w:rsidRPr="005B3A56" w:rsidRDefault="007D0E8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7D0E8A" w:rsidRPr="005B3A56" w:rsidRDefault="007D0E8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E8A" w:rsidRPr="005B3A56" w:rsidRDefault="007D0E8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D0E8A" w:rsidRPr="005B3A56" w:rsidRDefault="007D0E8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7D0E8A" w:rsidRPr="005B3A56" w:rsidRDefault="007D0E8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D0E8A" w:rsidRPr="005B3A56" w:rsidRDefault="007D0E8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53EBE"/>
    <w:rsid w:val="005973B9"/>
    <w:rsid w:val="005B3A56"/>
    <w:rsid w:val="005B65D2"/>
    <w:rsid w:val="006060CE"/>
    <w:rsid w:val="0063497F"/>
    <w:rsid w:val="007D0E8A"/>
    <w:rsid w:val="00816D6A"/>
    <w:rsid w:val="00873DF0"/>
    <w:rsid w:val="008756E6"/>
    <w:rsid w:val="008A08B6"/>
    <w:rsid w:val="009B2D44"/>
    <w:rsid w:val="009F3AD3"/>
    <w:rsid w:val="00A07E82"/>
    <w:rsid w:val="00A9710C"/>
    <w:rsid w:val="00AE3E37"/>
    <w:rsid w:val="00B21A57"/>
    <w:rsid w:val="00C33602"/>
    <w:rsid w:val="00CD6F55"/>
    <w:rsid w:val="00DE3104"/>
    <w:rsid w:val="00E10D1B"/>
    <w:rsid w:val="00E210F7"/>
    <w:rsid w:val="00E26B10"/>
    <w:rsid w:val="00F72EEA"/>
    <w:rsid w:val="00F84CAE"/>
    <w:rsid w:val="00FB5C52"/>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urates@gmail.com"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Gürsel Ates</cp:lastModifiedBy>
  <cp:revision>2</cp:revision>
  <dcterms:created xsi:type="dcterms:W3CDTF">2018-11-25T21:29:00Z</dcterms:created>
  <dcterms:modified xsi:type="dcterms:W3CDTF">2018-11-25T21:29:00Z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