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77" w:rsidRDefault="00C84A77" w:rsidP="00C84A77"/>
    <w:p w:rsidR="00755F53" w:rsidRPr="00DD2570" w:rsidRDefault="00F84136" w:rsidP="00F84136">
      <w:pPr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Differential</w:t>
      </w:r>
      <w:r w:rsidR="00755F53" w:rsidRPr="00DD25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expression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of </w:t>
      </w:r>
      <w:r w:rsidR="00755F53" w:rsidRPr="00DD25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autophagy-related genes </w:t>
      </w:r>
      <w:r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 xml:space="preserve">is associated with clinical outcomes of </w:t>
      </w:r>
      <w:r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 xml:space="preserve">patients with </w:t>
      </w:r>
      <w:r w:rsidRPr="00DD2570"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 xml:space="preserve">acute </w:t>
      </w:r>
      <w:proofErr w:type="spellStart"/>
      <w:r w:rsidRPr="00DD2570"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>myelocytic</w:t>
      </w:r>
      <w:proofErr w:type="spellEnd"/>
      <w:r w:rsidRPr="00DD2570">
        <w:rPr>
          <w:rFonts w:asciiTheme="majorBidi" w:eastAsia="Times New Roman" w:hAnsiTheme="majorBidi" w:cstheme="majorBidi"/>
          <w:b/>
          <w:bCs/>
          <w:color w:val="000000"/>
          <w:spacing w:val="-6"/>
          <w:sz w:val="24"/>
          <w:szCs w:val="24"/>
        </w:rPr>
        <w:t xml:space="preserve"> leukemia</w:t>
      </w:r>
    </w:p>
    <w:p w:rsidR="00755F53" w:rsidRPr="00755F53" w:rsidRDefault="00755F53" w:rsidP="00755F53">
      <w:pPr>
        <w:rPr>
          <w:rFonts w:asciiTheme="majorBidi" w:eastAsia="Times New Roman" w:hAnsiTheme="majorBidi" w:cstheme="majorBidi"/>
          <w:b/>
          <w:bCs/>
          <w:color w:val="000000"/>
          <w:spacing w:val="-6"/>
          <w:sz w:val="28"/>
          <w:szCs w:val="28"/>
        </w:rPr>
      </w:pPr>
    </w:p>
    <w:p w:rsidR="00C84A77" w:rsidRPr="00DD2570" w:rsidRDefault="00755F53" w:rsidP="007C738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>Ayla</w:t>
      </w:r>
      <w:proofErr w:type="spellEnd"/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 xml:space="preserve"> Fakhimadnadi</w:t>
      </w:r>
      <w:r w:rsidR="00676B07" w:rsidRPr="00DD25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>Marveh</w:t>
      </w:r>
      <w:proofErr w:type="spellEnd"/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 xml:space="preserve"> Rahmati</w:t>
      </w:r>
      <w:r w:rsidR="00676B07" w:rsidRPr="00DD25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7C7380" w:rsidRPr="00DD2570">
        <w:rPr>
          <w:rFonts w:ascii="Times New Roman" w:hAnsi="Times New Roman" w:cs="Times New Roman"/>
          <w:color w:val="000000"/>
          <w:sz w:val="24"/>
          <w:szCs w:val="24"/>
        </w:rPr>
        <w:t xml:space="preserve"> and Mohammad Amin Moosavi</w:t>
      </w:r>
      <w:r w:rsidR="00676B07" w:rsidRPr="00DD25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676B07" w:rsidRPr="00DD2570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bidi="fa-IR"/>
        </w:rPr>
        <w:t>*</w:t>
      </w:r>
    </w:p>
    <w:p w:rsidR="00676B07" w:rsidRPr="00DD2570" w:rsidRDefault="00676B07" w:rsidP="00676B07">
      <w:pPr>
        <w:spacing w:after="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5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DD2570">
        <w:rPr>
          <w:rFonts w:ascii="Times New Roman" w:hAnsi="Times New Roman" w:cs="Times New Roman"/>
          <w:color w:val="000000"/>
          <w:sz w:val="24"/>
          <w:szCs w:val="24"/>
        </w:rPr>
        <w:t>Department of Molecular Medicine, National Institute of Genetic Engineering and Biotechnology, P.O Box: 14965/161, Tehran, Iran.</w:t>
      </w:r>
    </w:p>
    <w:p w:rsidR="00676B07" w:rsidRDefault="00676B07" w:rsidP="00676B07">
      <w:pPr>
        <w:spacing w:after="80" w:line="240" w:lineRule="auto"/>
        <w:jc w:val="both"/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</w:pPr>
      <w:proofErr w:type="gramStart"/>
      <w:r w:rsidRPr="00DD257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Cancer Biology Research Center, Tehran University of Medical Sciences, Tehran, Iran.</w:t>
      </w:r>
      <w:proofErr w:type="gramEnd"/>
    </w:p>
    <w:p w:rsidR="00DD2570" w:rsidRPr="00DD2570" w:rsidRDefault="00DD2570" w:rsidP="00676B07">
      <w:pPr>
        <w:spacing w:after="8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676B07" w:rsidRDefault="00DD2570" w:rsidP="00DD2570">
      <w:pPr>
        <w:pStyle w:val="ListParagraph"/>
        <w:numPr>
          <w:ilvl w:val="0"/>
          <w:numId w:val="1"/>
        </w:numPr>
      </w:pPr>
      <w:r>
        <w:t>Corresponding author: a-moosavi@nigeb.ac.ir</w:t>
      </w:r>
    </w:p>
    <w:p w:rsidR="009261CE" w:rsidRPr="000F732F" w:rsidRDefault="00C84A77" w:rsidP="00B70A8B">
      <w:pPr>
        <w:spacing w:after="100" w:afterAutospacing="1" w:line="360" w:lineRule="auto"/>
        <w:jc w:val="both"/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</w:pPr>
      <w:r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Autophagy is a catabolic process that </w:t>
      </w:r>
      <w:r w:rsidR="0080314A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allows cells to</w:t>
      </w:r>
      <w:r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maintain homeostasis and survival under stressful conditions.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Accu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mulating evidence suggests that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autophagy contributes 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in</w:t>
      </w:r>
      <w:r w:rsidR="00AB480E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the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initiation and progression of cancer as well as resistance to chemotherapy. Little is known about 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the </w:t>
      </w:r>
      <w:r w:rsidR="00755F53" w:rsidRP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clinical significance </w:t>
      </w:r>
      <w:r w:rsidR="00755F53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of autophagy 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and </w:t>
      </w:r>
      <w:r w:rsidR="00755F53" w:rsidRP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its 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relationship with therapeutic outcomes in patients with acute </w:t>
      </w:r>
      <w:proofErr w:type="spellStart"/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myelocyctic</w:t>
      </w:r>
      <w:proofErr w:type="spellEnd"/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leukemia (AML). Here </w:t>
      </w:r>
      <w:r w:rsidR="000F732F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we report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the differential gene expression pattern of some autophagy-related genes (ATGs) that have an operative function during different step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s of autophagy in AML patients.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The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se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key </w:t>
      </w:r>
      <w:proofErr w:type="spellStart"/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autophgic</w:t>
      </w:r>
      <w:proofErr w:type="spellEnd"/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markers (ATG4, ATG5, BECN1/ATG6, ATG7, MAP1LC3/ATG8,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ATG12 and SQSTM1/p62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)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were transcriptionally analyzed in PBMCs samples from 43 AML patients compared with healthy volunteers by q-PCR. 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In general, the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gene expression levels ATGs were significantly higher in PBMCs from AML patients compared with healt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hy individuals. 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We also analyzed bo</w:t>
      </w:r>
      <w:r w:rsidR="009344EC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ne 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marrow (BM)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samples newly diagnosed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AMLs before and after treatment with standard chemotherapy. 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In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contrast with PBMCs, the level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of autophagy markers w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as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low in BM samples from diagnosed AML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patients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compared with controls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. </w:t>
      </w:r>
      <w:r w:rsidR="00DD2570" w:rsidRP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Follow-up results 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indicated that</w:t>
      </w:r>
      <w:r w:rsidR="00755F53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autophagy level was significantly changed after treatment of AML patients, and this was associated with the clinical outcomes. In fact, 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high expression of ATGs in BM samples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from AML patients </w:t>
      </w:r>
      <w:bookmarkStart w:id="0" w:name="_GoBack"/>
      <w:bookmarkEnd w:id="0"/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was associat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ed with a higher risk of relapse.</w:t>
      </w:r>
      <w:r w:rsidR="00951FC6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However, t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he expression levels of</w:t>
      </w:r>
      <w:r w:rsidR="000F732F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ATGs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remained down-regulated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0242CC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in the remission population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of AML</w:t>
      </w:r>
      <w:r w:rsidR="00360214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,</w:t>
      </w:r>
      <w:r w:rsidR="00AB480E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even lower than those observed in</w:t>
      </w:r>
      <w:r w:rsidR="00AB480E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the BM samples from 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diagnosed </w:t>
      </w:r>
      <w:r w:rsidR="00AB480E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AML patients</w:t>
      </w:r>
      <w:r w:rsidR="000242CC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. These results may further our knowledge of involvement of autophagy during </w:t>
      </w:r>
      <w:r w:rsidR="00DD2570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pathogenesis and </w:t>
      </w:r>
      <w:r w:rsidR="000242CC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treatment of AML, and thus may have </w:t>
      </w:r>
      <w:r w:rsidR="000F732F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thera</w:t>
      </w:r>
      <w:r w:rsidR="000F732F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pe</w:t>
      </w:r>
      <w:r w:rsidR="000F732F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>utic</w:t>
      </w:r>
      <w:r w:rsidR="000242CC" w:rsidRPr="00676B07">
        <w:rPr>
          <w:rFonts w:asciiTheme="majorBidi" w:eastAsia="Times New Roman" w:hAnsiTheme="majorBidi" w:cstheme="majorBidi"/>
          <w:color w:val="000000"/>
          <w:spacing w:val="-6"/>
          <w:sz w:val="24"/>
          <w:szCs w:val="24"/>
        </w:rPr>
        <w:t xml:space="preserve"> implications in future studies.</w:t>
      </w:r>
    </w:p>
    <w:sectPr w:rsidR="009261CE" w:rsidRPr="000F7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50305040509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360C8"/>
    <w:multiLevelType w:val="hybridMultilevel"/>
    <w:tmpl w:val="8E9099F8"/>
    <w:lvl w:ilvl="0" w:tplc="5AF49F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CE"/>
    <w:rsid w:val="000242CC"/>
    <w:rsid w:val="000F732F"/>
    <w:rsid w:val="00111BD7"/>
    <w:rsid w:val="001A4E03"/>
    <w:rsid w:val="00333A06"/>
    <w:rsid w:val="00360214"/>
    <w:rsid w:val="00676B07"/>
    <w:rsid w:val="00755F53"/>
    <w:rsid w:val="007C7380"/>
    <w:rsid w:val="0080314A"/>
    <w:rsid w:val="008C48C5"/>
    <w:rsid w:val="009261CE"/>
    <w:rsid w:val="009344EC"/>
    <w:rsid w:val="00951FC6"/>
    <w:rsid w:val="00AB480E"/>
    <w:rsid w:val="00B70A8B"/>
    <w:rsid w:val="00C84A77"/>
    <w:rsid w:val="00DD2570"/>
    <w:rsid w:val="00F8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4E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25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4E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2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2019-07-02T14:13:00Z</dcterms:created>
  <dcterms:modified xsi:type="dcterms:W3CDTF">2019-07-02T15:24:00Z</dcterms:modified>
</cp:coreProperties>
</file>