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C82" w:rsidRPr="00797631" w:rsidRDefault="002C5C82" w:rsidP="002C5C82">
      <w:pPr>
        <w:spacing w:line="480" w:lineRule="auto"/>
        <w:ind w:right="49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797631">
        <w:rPr>
          <w:rFonts w:ascii="Arial" w:hAnsi="Arial" w:cs="Arial"/>
          <w:b/>
          <w:sz w:val="24"/>
          <w:szCs w:val="24"/>
          <w:lang w:val="en-US"/>
        </w:rPr>
        <w:t>ABSTRACT</w:t>
      </w:r>
    </w:p>
    <w:p w:rsidR="002C5C82" w:rsidRPr="00797631" w:rsidRDefault="002C5C82" w:rsidP="002C5C82">
      <w:pPr>
        <w:spacing w:line="480" w:lineRule="auto"/>
        <w:ind w:right="49"/>
        <w:rPr>
          <w:rFonts w:ascii="Arial" w:hAnsi="Arial" w:cs="Arial"/>
          <w:sz w:val="24"/>
          <w:szCs w:val="24"/>
          <w:lang w:val="en-US"/>
        </w:rPr>
      </w:pPr>
    </w:p>
    <w:p w:rsidR="002C5C82" w:rsidRPr="001A0C74" w:rsidRDefault="002C5C82" w:rsidP="002C5C82">
      <w:pPr>
        <w:spacing w:line="480" w:lineRule="auto"/>
        <w:ind w:right="49"/>
        <w:rPr>
          <w:rFonts w:ascii="Arial" w:hAnsi="Arial" w:cs="Arial"/>
          <w:sz w:val="24"/>
          <w:szCs w:val="24"/>
          <w:lang w:val="en-US"/>
        </w:rPr>
      </w:pPr>
      <w:r w:rsidRPr="001A0C74">
        <w:rPr>
          <w:rFonts w:ascii="Arial" w:hAnsi="Arial" w:cs="Arial"/>
          <w:sz w:val="24"/>
          <w:szCs w:val="24"/>
          <w:lang w:val="en-US"/>
        </w:rPr>
        <w:t xml:space="preserve">Objective: High and low risk genetic correlation to local and distant recurrence in early breast cancer at Edgardo </w:t>
      </w:r>
      <w:proofErr w:type="spellStart"/>
      <w:r w:rsidRPr="001A0C74">
        <w:rPr>
          <w:rFonts w:ascii="Arial" w:hAnsi="Arial" w:cs="Arial"/>
          <w:sz w:val="24"/>
          <w:szCs w:val="24"/>
          <w:lang w:val="en-US"/>
        </w:rPr>
        <w:t>Rebagliati</w:t>
      </w:r>
      <w:proofErr w:type="spellEnd"/>
      <w:r w:rsidRPr="001A0C74">
        <w:rPr>
          <w:rFonts w:ascii="Arial" w:hAnsi="Arial" w:cs="Arial"/>
          <w:sz w:val="24"/>
          <w:szCs w:val="24"/>
          <w:lang w:val="en-US"/>
        </w:rPr>
        <w:t xml:space="preserve"> Martins Hospital in the period of 2011</w:t>
      </w:r>
      <w:r>
        <w:rPr>
          <w:rFonts w:ascii="Arial" w:hAnsi="Arial" w:cs="Arial"/>
          <w:sz w:val="24"/>
          <w:szCs w:val="24"/>
          <w:lang w:val="en-US"/>
        </w:rPr>
        <w:t>-</w:t>
      </w:r>
      <w:r w:rsidRPr="001A0C74">
        <w:rPr>
          <w:rFonts w:ascii="Arial" w:hAnsi="Arial" w:cs="Arial"/>
          <w:sz w:val="24"/>
          <w:szCs w:val="24"/>
          <w:lang w:val="en-US"/>
        </w:rPr>
        <w:t xml:space="preserve"> 2013.</w:t>
      </w:r>
    </w:p>
    <w:p w:rsidR="002C5C82" w:rsidRPr="004E35D5" w:rsidRDefault="002C5C82" w:rsidP="002C5C82">
      <w:pPr>
        <w:spacing w:line="480" w:lineRule="auto"/>
        <w:ind w:right="49"/>
        <w:rPr>
          <w:rFonts w:ascii="Arial" w:hAnsi="Arial" w:cs="Arial"/>
          <w:sz w:val="24"/>
          <w:szCs w:val="24"/>
          <w:lang w:val="en-US"/>
        </w:rPr>
      </w:pPr>
      <w:r w:rsidRPr="004E35D5">
        <w:rPr>
          <w:rFonts w:ascii="Arial" w:hAnsi="Arial" w:cs="Arial"/>
          <w:sz w:val="24"/>
          <w:szCs w:val="24"/>
          <w:lang w:val="en-US"/>
        </w:rPr>
        <w:t xml:space="preserve">Secondary objective the correlation between </w:t>
      </w:r>
      <w:proofErr w:type="spellStart"/>
      <w:r w:rsidRPr="004E35D5">
        <w:rPr>
          <w:rFonts w:ascii="Arial" w:hAnsi="Arial" w:cs="Arial"/>
          <w:sz w:val="24"/>
          <w:szCs w:val="24"/>
          <w:lang w:val="en-US"/>
        </w:rPr>
        <w:t>lymphovascular</w:t>
      </w:r>
      <w:proofErr w:type="spellEnd"/>
      <w:r w:rsidRPr="004E35D5">
        <w:rPr>
          <w:rFonts w:ascii="Arial" w:hAnsi="Arial" w:cs="Arial"/>
          <w:sz w:val="24"/>
          <w:szCs w:val="24"/>
          <w:lang w:val="en-US"/>
        </w:rPr>
        <w:t xml:space="preserve"> invasion, the status of hormonal receptors, molecular type versus type according to genetic platform.</w:t>
      </w:r>
    </w:p>
    <w:p w:rsidR="002C5C82" w:rsidRPr="004E35D5" w:rsidRDefault="002C5C82" w:rsidP="002C5C82">
      <w:pPr>
        <w:spacing w:line="480" w:lineRule="auto"/>
        <w:ind w:right="4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The percentage of high</w:t>
      </w:r>
      <w:r w:rsidRPr="004E35D5">
        <w:rPr>
          <w:rFonts w:ascii="Arial" w:hAnsi="Arial" w:cs="Arial"/>
          <w:sz w:val="24"/>
          <w:szCs w:val="24"/>
          <w:lang w:val="en-US"/>
        </w:rPr>
        <w:t xml:space="preserve"> and low risk according to genetic type, the percentage of local and distant recurrence of early breast cancer, the percentage of patients according to molecular subtype.</w:t>
      </w:r>
    </w:p>
    <w:p w:rsidR="002C5C82" w:rsidRPr="004E35D5" w:rsidRDefault="002C5C82" w:rsidP="002C5C82">
      <w:pPr>
        <w:spacing w:line="480" w:lineRule="auto"/>
        <w:ind w:right="49"/>
        <w:rPr>
          <w:rFonts w:ascii="Arial" w:hAnsi="Arial" w:cs="Arial"/>
          <w:sz w:val="24"/>
          <w:szCs w:val="24"/>
          <w:lang w:val="en-US"/>
        </w:rPr>
      </w:pPr>
      <w:r w:rsidRPr="004E35D5">
        <w:rPr>
          <w:rFonts w:ascii="Arial" w:hAnsi="Arial" w:cs="Arial"/>
          <w:sz w:val="24"/>
          <w:szCs w:val="24"/>
          <w:lang w:val="en-US"/>
        </w:rPr>
        <w:t>Methodology: An observational, cross-sectional, study was carried out. Patients aged between 18 and 70 years were diagnosed with breast cancer with or without node involvement without distant metastases at diagnosis.</w:t>
      </w:r>
    </w:p>
    <w:p w:rsidR="002C5C82" w:rsidRPr="004E35D5" w:rsidRDefault="002C5C82" w:rsidP="002C5C82">
      <w:pPr>
        <w:spacing w:line="480" w:lineRule="auto"/>
        <w:ind w:right="49"/>
        <w:rPr>
          <w:rFonts w:ascii="Arial" w:hAnsi="Arial" w:cs="Arial"/>
          <w:sz w:val="24"/>
          <w:szCs w:val="24"/>
          <w:lang w:val="en-US"/>
        </w:rPr>
      </w:pPr>
      <w:r w:rsidRPr="004E35D5">
        <w:rPr>
          <w:rFonts w:ascii="Arial" w:hAnsi="Arial" w:cs="Arial"/>
          <w:sz w:val="24"/>
          <w:szCs w:val="24"/>
          <w:lang w:val="en-US"/>
        </w:rPr>
        <w:t>Results: At the follow-up of 4.9 years, none of the 22 patients presented recur</w:t>
      </w:r>
      <w:r>
        <w:rPr>
          <w:rFonts w:ascii="Arial" w:hAnsi="Arial" w:cs="Arial"/>
          <w:sz w:val="24"/>
          <w:szCs w:val="24"/>
          <w:lang w:val="en-US"/>
        </w:rPr>
        <w:t>rence either locally or distant</w:t>
      </w:r>
      <w:r w:rsidRPr="004E35D5">
        <w:rPr>
          <w:rFonts w:ascii="Arial" w:hAnsi="Arial" w:cs="Arial"/>
          <w:sz w:val="24"/>
          <w:szCs w:val="24"/>
          <w:lang w:val="en-US"/>
        </w:rPr>
        <w:t>, for either high or low risk. High-risk patients were treated with adjuvant chemotherapy and those at low risk did not receive adjuvant chemotherapy.</w:t>
      </w:r>
    </w:p>
    <w:p w:rsidR="002C5C82" w:rsidRPr="001A0C74" w:rsidRDefault="002C5C82" w:rsidP="002C5C82">
      <w:pPr>
        <w:spacing w:line="480" w:lineRule="auto"/>
        <w:ind w:right="49"/>
        <w:rPr>
          <w:rFonts w:ascii="Arial" w:hAnsi="Arial" w:cs="Arial"/>
          <w:sz w:val="24"/>
          <w:szCs w:val="24"/>
          <w:lang w:val="en-US"/>
        </w:rPr>
      </w:pPr>
      <w:r w:rsidRPr="001A0C74">
        <w:rPr>
          <w:rFonts w:ascii="Arial" w:hAnsi="Arial" w:cs="Arial"/>
          <w:sz w:val="24"/>
          <w:szCs w:val="24"/>
          <w:lang w:val="en-US"/>
        </w:rPr>
        <w:t>In the present study, 47.6% were obtained for low-risk patients and 52.4% for high-risk patients. The status of progesterone receptors was related to the type according to the genetic platform. Patients with a luminal molecular subtype B 54%, luminal A of 41%, and 5% for triple negative patients. High risk patients 60% versus 27.3% low risk in luminal A subtype, 63.6% versus 40% luminal B.</w:t>
      </w:r>
    </w:p>
    <w:p w:rsidR="002C5C82" w:rsidRPr="001A0C74" w:rsidRDefault="002C5C82" w:rsidP="002C5C82">
      <w:pPr>
        <w:spacing w:line="480" w:lineRule="auto"/>
        <w:ind w:right="49"/>
        <w:rPr>
          <w:rFonts w:ascii="Arial" w:hAnsi="Arial" w:cs="Arial"/>
          <w:sz w:val="24"/>
          <w:szCs w:val="24"/>
          <w:lang w:val="en-US"/>
        </w:rPr>
      </w:pPr>
      <w:r w:rsidRPr="001A0C74">
        <w:rPr>
          <w:rFonts w:ascii="Arial" w:hAnsi="Arial" w:cs="Arial"/>
          <w:sz w:val="24"/>
          <w:szCs w:val="24"/>
          <w:lang w:val="en-US"/>
        </w:rPr>
        <w:t xml:space="preserve">Conclusions: At the follow-up of 4.9 years no patient present local recurrence or distance, in favor of genetic study. That progesterone receptors would be related to the low-risk genetic profile. Patients with a diagnosis of early B-luminal breast </w:t>
      </w:r>
      <w:r w:rsidRPr="001A0C74">
        <w:rPr>
          <w:rFonts w:ascii="Arial" w:hAnsi="Arial" w:cs="Arial"/>
          <w:sz w:val="24"/>
          <w:szCs w:val="24"/>
          <w:lang w:val="en-US"/>
        </w:rPr>
        <w:lastRenderedPageBreak/>
        <w:t>cancer are in higher percentage of high risk and those luminal A are in higher percentage of low risk according to genetic platform.</w:t>
      </w:r>
    </w:p>
    <w:p w:rsidR="002C5C82" w:rsidRPr="001A0C74" w:rsidRDefault="002C5C82" w:rsidP="002C5C82">
      <w:pPr>
        <w:spacing w:line="480" w:lineRule="auto"/>
        <w:ind w:right="49"/>
        <w:rPr>
          <w:rFonts w:ascii="Arial" w:hAnsi="Arial" w:cs="Arial"/>
          <w:sz w:val="24"/>
          <w:szCs w:val="24"/>
          <w:lang w:val="en-US"/>
        </w:rPr>
      </w:pPr>
      <w:r w:rsidRPr="001A0C74">
        <w:rPr>
          <w:rFonts w:ascii="Arial" w:hAnsi="Arial" w:cs="Arial"/>
          <w:sz w:val="24"/>
          <w:szCs w:val="24"/>
          <w:lang w:val="en-US"/>
        </w:rPr>
        <w:t>Key words: Breast cancer EC I and II, local recurrence, Recurrence distance, genetic platform</w:t>
      </w:r>
      <w:r>
        <w:rPr>
          <w:rFonts w:ascii="Arial" w:hAnsi="Arial" w:cs="Arial"/>
          <w:sz w:val="24"/>
          <w:szCs w:val="24"/>
          <w:lang w:val="en-US"/>
        </w:rPr>
        <w:t>,</w:t>
      </w:r>
    </w:p>
    <w:p w:rsidR="002C5C82" w:rsidRPr="002C5C82" w:rsidRDefault="002C5C82">
      <w:pPr>
        <w:rPr>
          <w:lang w:val="en-US"/>
        </w:rPr>
      </w:pPr>
      <w:bookmarkStart w:id="0" w:name="_GoBack"/>
      <w:bookmarkEnd w:id="0"/>
    </w:p>
    <w:sectPr w:rsidR="002C5C82" w:rsidRPr="002C5C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C82"/>
    <w:rsid w:val="002C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6F0442-D3FD-4047-B0CD-B06FA00A1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5C82"/>
    <w:pPr>
      <w:spacing w:after="0" w:line="280" w:lineRule="exact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martin leva  abanto</dc:creator>
  <cp:keywords/>
  <dc:description/>
  <cp:lastModifiedBy>jose martin leva  abanto</cp:lastModifiedBy>
  <cp:revision>1</cp:revision>
  <dcterms:created xsi:type="dcterms:W3CDTF">2017-12-16T22:08:00Z</dcterms:created>
  <dcterms:modified xsi:type="dcterms:W3CDTF">2017-12-16T22:09:00Z</dcterms:modified>
</cp:coreProperties>
</file>