
<file path=[Content_Types].xml><?xml version="1.0" encoding="utf-8"?>
<Types xmlns="http://schemas.openxmlformats.org/package/2006/content-types">
  <Default Extension="xml" ContentType="application/xml"/>
  <Default Extension="jpeg" ContentType="image/jpeg"/>
  <Default Extension="xlsx" ContentType="application/vnd.openxmlformats-officedocument.spreadsheetml.sheet"/>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94F15B" w14:textId="77777777" w:rsidR="00AE3E37" w:rsidRDefault="003A7CF6" w:rsidP="00494130">
      <w:pPr>
        <w:pStyle w:val="Titre1"/>
        <w:spacing w:before="170"/>
        <w:ind w:left="0"/>
        <w:rPr>
          <w:color w:val="337AB7"/>
        </w:rPr>
      </w:pPr>
      <w:r w:rsidRPr="003A7CF6">
        <w:rPr>
          <w:color w:val="337AB7"/>
        </w:rPr>
        <w:t xml:space="preserve">Nutritional assessment </w:t>
      </w:r>
      <w:r w:rsidR="006806AB">
        <w:rPr>
          <w:color w:val="337AB7"/>
        </w:rPr>
        <w:t>of patients suffering from</w:t>
      </w:r>
      <w:r w:rsidRPr="003A7CF6">
        <w:rPr>
          <w:color w:val="337AB7"/>
        </w:rPr>
        <w:t xml:space="preserve"> lung </w:t>
      </w:r>
      <w:r w:rsidR="006806AB" w:rsidRPr="003A7CF6">
        <w:rPr>
          <w:color w:val="337AB7"/>
        </w:rPr>
        <w:t>cancer:</w:t>
      </w:r>
      <w:r w:rsidRPr="003A7CF6">
        <w:rPr>
          <w:color w:val="337AB7"/>
        </w:rPr>
        <w:t xml:space="preserve"> </w:t>
      </w:r>
      <w:r w:rsidR="005A433F">
        <w:rPr>
          <w:color w:val="337AB7"/>
        </w:rPr>
        <w:t xml:space="preserve">a </w:t>
      </w:r>
      <w:r w:rsidRPr="003A7CF6">
        <w:rPr>
          <w:color w:val="337AB7"/>
        </w:rPr>
        <w:t xml:space="preserve">prospective observational study of physicians and surgeons </w:t>
      </w:r>
      <w:r>
        <w:rPr>
          <w:color w:val="337AB7"/>
        </w:rPr>
        <w:t>in France</w:t>
      </w:r>
    </w:p>
    <w:p w14:paraId="0DFBE809" w14:textId="77777777" w:rsidR="003A7CF6" w:rsidRPr="003A7CF6" w:rsidRDefault="003A7CF6" w:rsidP="00494130">
      <w:pPr>
        <w:pStyle w:val="Titre1"/>
        <w:spacing w:before="170"/>
        <w:ind w:left="0"/>
      </w:pPr>
    </w:p>
    <w:p w14:paraId="140148AF" w14:textId="77777777" w:rsidR="006806AB" w:rsidRDefault="006806AB" w:rsidP="005973B9">
      <w:pPr>
        <w:pStyle w:val="Corpsdetexte"/>
        <w:spacing w:before="73" w:line="198" w:lineRule="exact"/>
        <w:ind w:left="100" w:right="5987"/>
        <w:rPr>
          <w:rFonts w:ascii="Arial"/>
        </w:rPr>
      </w:pPr>
      <w:r w:rsidRPr="006806AB">
        <w:rPr>
          <w:rFonts w:ascii="Arial"/>
        </w:rPr>
        <w:t xml:space="preserve">Pauline </w:t>
      </w:r>
      <w:proofErr w:type="spellStart"/>
      <w:r w:rsidRPr="006806AB">
        <w:rPr>
          <w:rFonts w:ascii="Arial"/>
        </w:rPr>
        <w:t>Corbaux</w:t>
      </w:r>
      <w:proofErr w:type="spellEnd"/>
      <w:r w:rsidRPr="006806AB">
        <w:rPr>
          <w:rFonts w:ascii="Arial"/>
        </w:rPr>
        <w:t xml:space="preserve">, Medical Oncology Intern, </w:t>
      </w:r>
    </w:p>
    <w:p w14:paraId="104E29E2" w14:textId="77777777" w:rsidR="005973B9" w:rsidRPr="00077278" w:rsidRDefault="006806AB" w:rsidP="005973B9">
      <w:pPr>
        <w:pStyle w:val="Corpsdetexte"/>
        <w:spacing w:before="73" w:line="198" w:lineRule="exact"/>
        <w:ind w:left="100" w:right="5987"/>
        <w:rPr>
          <w:rFonts w:ascii="Arial"/>
          <w:lang w:val="fr-FR"/>
        </w:rPr>
      </w:pPr>
      <w:proofErr w:type="spellStart"/>
      <w:r w:rsidRPr="00077278">
        <w:rPr>
          <w:rFonts w:ascii="Arial"/>
          <w:bCs/>
          <w:lang w:val="fr-FR"/>
        </w:rPr>
        <w:t>Clinical</w:t>
      </w:r>
      <w:proofErr w:type="spellEnd"/>
      <w:r w:rsidRPr="00077278">
        <w:rPr>
          <w:rFonts w:ascii="Arial"/>
          <w:bCs/>
          <w:lang w:val="fr-FR"/>
        </w:rPr>
        <w:t xml:space="preserve"> </w:t>
      </w:r>
      <w:proofErr w:type="spellStart"/>
      <w:r w:rsidRPr="00077278">
        <w:rPr>
          <w:rFonts w:ascii="Arial"/>
          <w:bCs/>
          <w:lang w:val="fr-FR"/>
        </w:rPr>
        <w:t>Oncology</w:t>
      </w:r>
      <w:proofErr w:type="spellEnd"/>
      <w:r w:rsidRPr="00077278">
        <w:rPr>
          <w:rFonts w:ascii="Arial"/>
          <w:bCs/>
          <w:lang w:val="fr-FR"/>
        </w:rPr>
        <w:t xml:space="preserve">, Hospices Civils de Lyon, France. </w:t>
      </w:r>
    </w:p>
    <w:p w14:paraId="21A98172" w14:textId="77777777" w:rsidR="00AE3E37" w:rsidRPr="00077278" w:rsidRDefault="00AE3E37">
      <w:pPr>
        <w:pStyle w:val="Corpsdetexte"/>
        <w:rPr>
          <w:rFonts w:ascii="Arial"/>
          <w:sz w:val="20"/>
          <w:lang w:val="fr-FR"/>
        </w:rPr>
      </w:pPr>
    </w:p>
    <w:p w14:paraId="7ED7AAAF" w14:textId="77777777" w:rsidR="00AE3E37" w:rsidRPr="00077278" w:rsidRDefault="00AE3E37">
      <w:pPr>
        <w:pStyle w:val="Corpsdetexte"/>
        <w:spacing w:before="3"/>
        <w:rPr>
          <w:rFonts w:ascii="Arial"/>
          <w:sz w:val="21"/>
          <w:lang w:val="fr-FR"/>
        </w:rPr>
      </w:pPr>
    </w:p>
    <w:p w14:paraId="32BBE539" w14:textId="77777777" w:rsidR="00AE3E37" w:rsidRPr="00077278" w:rsidRDefault="00AE3E37">
      <w:pPr>
        <w:rPr>
          <w:rFonts w:ascii="Arial"/>
          <w:sz w:val="21"/>
          <w:lang w:val="fr-FR"/>
        </w:rPr>
        <w:sectPr w:rsidR="00AE3E37" w:rsidRPr="00077278">
          <w:headerReference w:type="default" r:id="rId9"/>
          <w:footerReference w:type="default" r:id="rId10"/>
          <w:type w:val="continuous"/>
          <w:pgSz w:w="11910" w:h="16840"/>
          <w:pgMar w:top="1740" w:right="600" w:bottom="840" w:left="620" w:header="541" w:footer="642" w:gutter="0"/>
          <w:cols w:space="720"/>
        </w:sectPr>
      </w:pPr>
    </w:p>
    <w:p w14:paraId="6D559A0A" w14:textId="77777777" w:rsidR="00AE3E37" w:rsidRPr="00077278" w:rsidRDefault="00A9710C" w:rsidP="001975B5">
      <w:pPr>
        <w:pStyle w:val="Titre3"/>
        <w:spacing w:before="147"/>
        <w:ind w:left="0"/>
        <w:jc w:val="both"/>
        <w:rPr>
          <w:lang w:val="fr-FR"/>
        </w:rPr>
      </w:pPr>
      <w:r w:rsidRPr="00077278">
        <w:rPr>
          <w:color w:val="BF5A14"/>
          <w:lang w:val="fr-FR"/>
        </w:rPr>
        <w:lastRenderedPageBreak/>
        <w:t>Abstract</w:t>
      </w:r>
      <w:r w:rsidR="00077278" w:rsidRPr="00077278">
        <w:rPr>
          <w:color w:val="BF5A14"/>
          <w:lang w:val="fr-FR"/>
        </w:rPr>
        <w:t xml:space="preserve"> </w:t>
      </w:r>
    </w:p>
    <w:p w14:paraId="541E07EA" w14:textId="58031685" w:rsidR="005973B9" w:rsidRPr="001975B5" w:rsidRDefault="00A9710C" w:rsidP="001975B5">
      <w:pPr>
        <w:jc w:val="both"/>
        <w:rPr>
          <w:sz w:val="18"/>
          <w:szCs w:val="18"/>
          <w:lang w:val="en-AU"/>
        </w:rPr>
      </w:pPr>
      <w:r w:rsidRPr="00733E06">
        <w:rPr>
          <w:sz w:val="18"/>
          <w:szCs w:val="18"/>
        </w:rPr>
        <w:t xml:space="preserve">Statement of the Problem: </w:t>
      </w:r>
      <w:r w:rsidR="00077278" w:rsidRPr="00733E06">
        <w:rPr>
          <w:sz w:val="18"/>
          <w:szCs w:val="18"/>
        </w:rPr>
        <w:t xml:space="preserve"> </w:t>
      </w:r>
      <w:r w:rsidR="00733E06" w:rsidRPr="00733E06">
        <w:rPr>
          <w:sz w:val="18"/>
          <w:szCs w:val="18"/>
          <w:lang w:val="en-AU"/>
        </w:rPr>
        <w:t xml:space="preserve">Malnutrition is a common problem among patients suffering from cancer, estimated at 45,3 % in lung cancer. The consequences are numerous, even though they seem less obvious than in cancers of the digestive tract and head and neck cancers. Despite various screening tools, national and </w:t>
      </w:r>
      <w:proofErr w:type="spellStart"/>
      <w:proofErr w:type="gramStart"/>
      <w:r w:rsidR="00733E06" w:rsidRPr="00733E06">
        <w:rPr>
          <w:sz w:val="18"/>
          <w:szCs w:val="18"/>
          <w:lang w:val="en-AU"/>
        </w:rPr>
        <w:t>european</w:t>
      </w:r>
      <w:proofErr w:type="spellEnd"/>
      <w:proofErr w:type="gramEnd"/>
      <w:r w:rsidR="00733E06" w:rsidRPr="00733E06">
        <w:rPr>
          <w:sz w:val="18"/>
          <w:szCs w:val="18"/>
          <w:lang w:val="en-AU"/>
        </w:rPr>
        <w:t xml:space="preserve"> guidelines, malnutrition is </w:t>
      </w:r>
      <w:proofErr w:type="spellStart"/>
      <w:r w:rsidR="00733E06" w:rsidRPr="00733E06">
        <w:rPr>
          <w:sz w:val="18"/>
          <w:szCs w:val="18"/>
          <w:lang w:val="en-AU"/>
        </w:rPr>
        <w:t>underdiag</w:t>
      </w:r>
      <w:bookmarkStart w:id="0" w:name="_GoBack"/>
      <w:bookmarkEnd w:id="0"/>
      <w:r w:rsidR="00733E06" w:rsidRPr="00733E06">
        <w:rPr>
          <w:sz w:val="18"/>
          <w:szCs w:val="18"/>
          <w:lang w:val="en-AU"/>
        </w:rPr>
        <w:t>nosed</w:t>
      </w:r>
      <w:proofErr w:type="spellEnd"/>
      <w:r w:rsidR="00733E06" w:rsidRPr="00733E06">
        <w:rPr>
          <w:sz w:val="18"/>
          <w:szCs w:val="18"/>
          <w:lang w:val="en-AU"/>
        </w:rPr>
        <w:t xml:space="preserve">. This study aimed to assess clinical practices of physicians and surgeons regarding malnutrition diagnosis of patients suffering from lung cancer. </w:t>
      </w:r>
      <w:r w:rsidRPr="00733E06">
        <w:rPr>
          <w:sz w:val="18"/>
          <w:szCs w:val="18"/>
        </w:rPr>
        <w:t>Methodolog</w:t>
      </w:r>
      <w:r w:rsidR="008756E6" w:rsidRPr="00733E06">
        <w:rPr>
          <w:sz w:val="18"/>
          <w:szCs w:val="18"/>
        </w:rPr>
        <w:t xml:space="preserve">y &amp; Theoretical Orientation: </w:t>
      </w:r>
      <w:r w:rsidR="00077278" w:rsidRPr="00733E06">
        <w:rPr>
          <w:sz w:val="18"/>
          <w:szCs w:val="18"/>
        </w:rPr>
        <w:t xml:space="preserve"> </w:t>
      </w:r>
      <w:r w:rsidR="00733E06" w:rsidRPr="00733E06">
        <w:rPr>
          <w:sz w:val="18"/>
          <w:szCs w:val="18"/>
          <w:lang w:val="en-AU"/>
        </w:rPr>
        <w:t xml:space="preserve">We carried out a prospective observational study in France, using online self-administered questionnaire. </w:t>
      </w:r>
      <w:r w:rsidRPr="00733E06">
        <w:rPr>
          <w:sz w:val="18"/>
          <w:szCs w:val="18"/>
        </w:rPr>
        <w:t xml:space="preserve">Findings: </w:t>
      </w:r>
      <w:r w:rsidR="00077278" w:rsidRPr="00733E06">
        <w:rPr>
          <w:sz w:val="18"/>
          <w:szCs w:val="18"/>
        </w:rPr>
        <w:t xml:space="preserve"> </w:t>
      </w:r>
      <w:r w:rsidR="00733E06" w:rsidRPr="00733E06">
        <w:rPr>
          <w:sz w:val="18"/>
          <w:szCs w:val="18"/>
          <w:lang w:val="en-AU"/>
        </w:rPr>
        <w:t xml:space="preserve">Between </w:t>
      </w:r>
      <w:proofErr w:type="spellStart"/>
      <w:r w:rsidR="00733E06" w:rsidRPr="00733E06">
        <w:rPr>
          <w:sz w:val="18"/>
          <w:szCs w:val="18"/>
          <w:lang w:val="en-AU"/>
        </w:rPr>
        <w:t>april</w:t>
      </w:r>
      <w:proofErr w:type="spellEnd"/>
      <w:r w:rsidR="00733E06" w:rsidRPr="00733E06">
        <w:rPr>
          <w:sz w:val="18"/>
          <w:szCs w:val="18"/>
          <w:lang w:val="en-AU"/>
        </w:rPr>
        <w:t xml:space="preserve"> and may 2017, we collected 206 questionnaires, including </w:t>
      </w:r>
      <w:r w:rsidR="001975B5">
        <w:rPr>
          <w:sz w:val="18"/>
          <w:szCs w:val="18"/>
          <w:lang w:val="en-AU"/>
        </w:rPr>
        <w:t>60,7</w:t>
      </w:r>
      <w:r w:rsidR="00733E06" w:rsidRPr="00733E06">
        <w:rPr>
          <w:sz w:val="18"/>
          <w:szCs w:val="18"/>
          <w:lang w:val="en-AU"/>
        </w:rPr>
        <w:t>% of pulmonologist</w:t>
      </w:r>
      <w:r w:rsidR="001975B5">
        <w:rPr>
          <w:sz w:val="18"/>
          <w:szCs w:val="18"/>
          <w:lang w:val="en-AU"/>
        </w:rPr>
        <w:t>s, 17,4</w:t>
      </w:r>
      <w:r w:rsidR="00733E06" w:rsidRPr="00733E06">
        <w:rPr>
          <w:sz w:val="18"/>
          <w:szCs w:val="18"/>
          <w:lang w:val="en-AU"/>
        </w:rPr>
        <w:t>% of thoraci</w:t>
      </w:r>
      <w:r w:rsidR="00AD5310">
        <w:rPr>
          <w:sz w:val="18"/>
          <w:szCs w:val="18"/>
          <w:lang w:val="en-AU"/>
        </w:rPr>
        <w:t>c surgeons, 11,2</w:t>
      </w:r>
      <w:r w:rsidR="00733E06" w:rsidRPr="00733E06">
        <w:rPr>
          <w:sz w:val="18"/>
          <w:szCs w:val="18"/>
          <w:lang w:val="en-AU"/>
        </w:rPr>
        <w:t xml:space="preserve">% of oncologists and 10,7% of radiotherapists. At initial diagnosis, weight loss was determined for </w:t>
      </w:r>
      <w:r w:rsidR="001975B5">
        <w:rPr>
          <w:sz w:val="18"/>
          <w:szCs w:val="18"/>
          <w:lang w:val="en-AU"/>
        </w:rPr>
        <w:t>79,3</w:t>
      </w:r>
      <w:r w:rsidR="00AD5310">
        <w:rPr>
          <w:sz w:val="18"/>
          <w:szCs w:val="18"/>
          <w:lang w:val="en-AU"/>
        </w:rPr>
        <w:t>% of all patients and</w:t>
      </w:r>
      <w:r w:rsidR="00733E06" w:rsidRPr="00733E06">
        <w:rPr>
          <w:sz w:val="18"/>
          <w:szCs w:val="18"/>
          <w:lang w:val="en-AU"/>
        </w:rPr>
        <w:t xml:space="preserve"> during fo</w:t>
      </w:r>
      <w:r w:rsidR="00AD5310">
        <w:rPr>
          <w:sz w:val="18"/>
          <w:szCs w:val="18"/>
          <w:lang w:val="en-AU"/>
        </w:rPr>
        <w:t>llow-up consultations, for 67,5</w:t>
      </w:r>
      <w:r w:rsidR="00733E06" w:rsidRPr="00733E06">
        <w:rPr>
          <w:sz w:val="18"/>
          <w:szCs w:val="18"/>
          <w:lang w:val="en-AU"/>
        </w:rPr>
        <w:t>% of patients a</w:t>
      </w:r>
      <w:r w:rsidR="00AD5310">
        <w:rPr>
          <w:sz w:val="18"/>
          <w:szCs w:val="18"/>
          <w:lang w:val="en-AU"/>
        </w:rPr>
        <w:t>t risk of malnutrition and 70,4% of malnourished patients. Intakes were evaluated for 21,7</w:t>
      </w:r>
      <w:r w:rsidR="00733E06" w:rsidRPr="00733E06">
        <w:rPr>
          <w:sz w:val="18"/>
          <w:szCs w:val="18"/>
          <w:lang w:val="en-AU"/>
        </w:rPr>
        <w:t xml:space="preserve">% of all patients at initial diagnosis. Compared with physicians, surgeons </w:t>
      </w:r>
      <w:proofErr w:type="spellStart"/>
      <w:r w:rsidR="00733E06" w:rsidRPr="00733E06">
        <w:rPr>
          <w:sz w:val="18"/>
          <w:szCs w:val="18"/>
          <w:lang w:val="en-AU"/>
        </w:rPr>
        <w:t>significatively</w:t>
      </w:r>
      <w:proofErr w:type="spellEnd"/>
      <w:r w:rsidR="00733E06" w:rsidRPr="00733E06">
        <w:rPr>
          <w:sz w:val="18"/>
          <w:szCs w:val="18"/>
          <w:lang w:val="en-AU"/>
        </w:rPr>
        <w:t xml:space="preserve"> less frequently did both evaluations. Moreover, they were less </w:t>
      </w:r>
      <w:r w:rsidR="00AD5310">
        <w:rPr>
          <w:sz w:val="18"/>
          <w:szCs w:val="18"/>
          <w:lang w:val="en-AU"/>
        </w:rPr>
        <w:t>likely to request serum albumin</w:t>
      </w:r>
      <w:r w:rsidR="007809F9">
        <w:rPr>
          <w:sz w:val="18"/>
          <w:szCs w:val="18"/>
          <w:lang w:val="en-AU"/>
        </w:rPr>
        <w:t xml:space="preserve"> level and involved die</w:t>
      </w:r>
      <w:r w:rsidR="00733E06" w:rsidRPr="00733E06">
        <w:rPr>
          <w:sz w:val="18"/>
          <w:szCs w:val="18"/>
          <w:lang w:val="en-AU"/>
        </w:rPr>
        <w:t xml:space="preserve">ticians or nutritionists when weight loss was more important. No more than 20 % of physicians and surgeons used screening tools. Nevertheless, estimation of malnutrition prevalence was appropriate. Physicians, as well as surgeons, did not ignore malnutrition consequences.  Optimal nutritional assessment was limited by a lack of time and limited specific </w:t>
      </w:r>
      <w:r w:rsidR="001975B5">
        <w:rPr>
          <w:sz w:val="18"/>
          <w:szCs w:val="18"/>
          <w:lang w:val="en-AU"/>
        </w:rPr>
        <w:t xml:space="preserve">knowledge. </w:t>
      </w:r>
      <w:r w:rsidRPr="00733E06">
        <w:rPr>
          <w:sz w:val="18"/>
          <w:szCs w:val="18"/>
        </w:rPr>
        <w:t xml:space="preserve">Conclusion &amp; Significance: </w:t>
      </w:r>
      <w:r w:rsidR="00733E06" w:rsidRPr="00733E06">
        <w:rPr>
          <w:sz w:val="18"/>
          <w:szCs w:val="18"/>
          <w:lang w:val="en-AU"/>
        </w:rPr>
        <w:t>Despite awareness of malnutrition prevalence and impact, nutritional assessment remains insufficient, especially in su</w:t>
      </w:r>
      <w:r w:rsidR="00AD5310">
        <w:rPr>
          <w:sz w:val="18"/>
          <w:szCs w:val="18"/>
          <w:lang w:val="en-AU"/>
        </w:rPr>
        <w:t>rgery. Malnutrition</w:t>
      </w:r>
      <w:r w:rsidR="00733E06" w:rsidRPr="00733E06">
        <w:rPr>
          <w:sz w:val="18"/>
          <w:szCs w:val="18"/>
          <w:lang w:val="en-AU"/>
        </w:rPr>
        <w:t xml:space="preserve"> prevention must become a priority in patients suffering from cancer. Improvements of nutritional training for physicians and surgeons, development of nutritional liaison committees and interventional studies are needed to better consider nutritional risk in such patients.</w:t>
      </w:r>
      <w:r w:rsidR="00733E06">
        <w:rPr>
          <w:lang w:val="en-AU"/>
        </w:rPr>
        <w:t xml:space="preserve"> </w:t>
      </w:r>
      <w:r>
        <w:br w:type="column"/>
      </w:r>
      <w:r>
        <w:rPr>
          <w:color w:val="BF5A14"/>
        </w:rPr>
        <w:lastRenderedPageBreak/>
        <w:t>Image</w:t>
      </w:r>
      <w:r w:rsidR="00733E06">
        <w:rPr>
          <w:noProof/>
          <w:lang w:val="fr-FR" w:eastAsia="fr-FR"/>
        </w:rPr>
        <w:drawing>
          <wp:inline distT="0" distB="0" distL="0" distR="0" wp14:anchorId="15F79E67" wp14:editId="66F5A344">
            <wp:extent cx="3910965" cy="2703681"/>
            <wp:effectExtent l="0" t="0" r="635" b="0"/>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5973B9">
        <w:rPr>
          <w:rFonts w:ascii="Arial"/>
          <w:b/>
          <w:color w:val="BF5A14"/>
          <w:sz w:val="20"/>
        </w:rPr>
        <w:br/>
        <w:t>Recent Publications (minimum 5)</w:t>
      </w:r>
    </w:p>
    <w:p w14:paraId="1F22867C" w14:textId="77777777" w:rsidR="00D15017" w:rsidRPr="00116F62" w:rsidRDefault="00D15017" w:rsidP="005973B9">
      <w:pPr>
        <w:pStyle w:val="Paragraphedeliste"/>
        <w:numPr>
          <w:ilvl w:val="0"/>
          <w:numId w:val="3"/>
        </w:numPr>
        <w:tabs>
          <w:tab w:val="left" w:pos="384"/>
        </w:tabs>
        <w:spacing w:line="216" w:lineRule="exact"/>
        <w:ind w:right="137" w:hanging="283"/>
        <w:rPr>
          <w:sz w:val="16"/>
          <w:szCs w:val="16"/>
        </w:rPr>
      </w:pPr>
      <w:proofErr w:type="spellStart"/>
      <w:r w:rsidRPr="00116F62">
        <w:rPr>
          <w:sz w:val="16"/>
          <w:szCs w:val="16"/>
        </w:rPr>
        <w:t>Hébuterne</w:t>
      </w:r>
      <w:proofErr w:type="spellEnd"/>
      <w:r w:rsidRPr="00116F62">
        <w:rPr>
          <w:sz w:val="16"/>
          <w:szCs w:val="16"/>
        </w:rPr>
        <w:t xml:space="preserve"> X, </w:t>
      </w:r>
      <w:proofErr w:type="spellStart"/>
      <w:r w:rsidRPr="00116F62">
        <w:rPr>
          <w:sz w:val="16"/>
          <w:szCs w:val="16"/>
        </w:rPr>
        <w:t>Lemarié</w:t>
      </w:r>
      <w:proofErr w:type="spellEnd"/>
      <w:r w:rsidRPr="00116F62">
        <w:rPr>
          <w:sz w:val="16"/>
          <w:szCs w:val="16"/>
        </w:rPr>
        <w:t xml:space="preserve"> E, </w:t>
      </w:r>
      <w:proofErr w:type="spellStart"/>
      <w:r w:rsidRPr="00116F62">
        <w:rPr>
          <w:sz w:val="16"/>
          <w:szCs w:val="16"/>
        </w:rPr>
        <w:t>Michallet</w:t>
      </w:r>
      <w:proofErr w:type="spellEnd"/>
      <w:r w:rsidRPr="00116F62">
        <w:rPr>
          <w:sz w:val="16"/>
          <w:szCs w:val="16"/>
        </w:rPr>
        <w:t xml:space="preserve"> M, de Montreuil CB, Schneider SM, </w:t>
      </w:r>
      <w:proofErr w:type="spellStart"/>
      <w:r w:rsidRPr="00116F62">
        <w:rPr>
          <w:sz w:val="16"/>
          <w:szCs w:val="16"/>
        </w:rPr>
        <w:t>Goldwasser</w:t>
      </w:r>
      <w:proofErr w:type="spellEnd"/>
      <w:r w:rsidRPr="00116F62">
        <w:rPr>
          <w:sz w:val="16"/>
          <w:szCs w:val="16"/>
        </w:rPr>
        <w:t xml:space="preserve"> F. Prevalence of Malnutrition and Current Use of Nutrition Support in Patients With Cancer. J </w:t>
      </w:r>
      <w:proofErr w:type="spellStart"/>
      <w:r w:rsidRPr="00116F62">
        <w:rPr>
          <w:sz w:val="16"/>
          <w:szCs w:val="16"/>
        </w:rPr>
        <w:t>Parenter</w:t>
      </w:r>
      <w:proofErr w:type="spellEnd"/>
      <w:r w:rsidRPr="00116F62">
        <w:rPr>
          <w:sz w:val="16"/>
          <w:szCs w:val="16"/>
        </w:rPr>
        <w:t xml:space="preserve"> Enter </w:t>
      </w:r>
      <w:proofErr w:type="spellStart"/>
      <w:r w:rsidRPr="00116F62">
        <w:rPr>
          <w:sz w:val="16"/>
          <w:szCs w:val="16"/>
        </w:rPr>
        <w:t>Nutr</w:t>
      </w:r>
      <w:proofErr w:type="spellEnd"/>
      <w:r w:rsidRPr="00116F62">
        <w:rPr>
          <w:sz w:val="16"/>
          <w:szCs w:val="16"/>
        </w:rPr>
        <w:t>. 2014 Jan 23</w:t>
      </w:r>
      <w:proofErr w:type="gramStart"/>
      <w:r w:rsidRPr="00116F62">
        <w:rPr>
          <w:sz w:val="16"/>
          <w:szCs w:val="16"/>
        </w:rPr>
        <w:t>;38</w:t>
      </w:r>
      <w:proofErr w:type="gramEnd"/>
      <w:r w:rsidRPr="00116F62">
        <w:rPr>
          <w:sz w:val="16"/>
          <w:szCs w:val="16"/>
        </w:rPr>
        <w:t xml:space="preserve">(2):196–204. </w:t>
      </w:r>
    </w:p>
    <w:p w14:paraId="0A8DFACC" w14:textId="77777777" w:rsidR="00D15017" w:rsidRPr="00116F62" w:rsidRDefault="00D15017" w:rsidP="005973B9">
      <w:pPr>
        <w:pStyle w:val="Paragraphedeliste"/>
        <w:numPr>
          <w:ilvl w:val="0"/>
          <w:numId w:val="3"/>
        </w:numPr>
        <w:tabs>
          <w:tab w:val="left" w:pos="384"/>
        </w:tabs>
        <w:spacing w:line="216" w:lineRule="exact"/>
        <w:ind w:right="138" w:hanging="283"/>
        <w:rPr>
          <w:sz w:val="16"/>
          <w:szCs w:val="16"/>
        </w:rPr>
      </w:pPr>
      <w:r w:rsidRPr="00116F62">
        <w:rPr>
          <w:sz w:val="16"/>
          <w:szCs w:val="16"/>
          <w:lang w:val="fr-FR"/>
        </w:rPr>
        <w:t xml:space="preserve">Pressoir M, </w:t>
      </w:r>
      <w:proofErr w:type="spellStart"/>
      <w:r w:rsidRPr="00116F62">
        <w:rPr>
          <w:sz w:val="16"/>
          <w:szCs w:val="16"/>
          <w:lang w:val="fr-FR"/>
        </w:rPr>
        <w:t>Desné</w:t>
      </w:r>
      <w:proofErr w:type="spellEnd"/>
      <w:r w:rsidRPr="00116F62">
        <w:rPr>
          <w:sz w:val="16"/>
          <w:szCs w:val="16"/>
          <w:lang w:val="fr-FR"/>
        </w:rPr>
        <w:t xml:space="preserve"> S, </w:t>
      </w:r>
      <w:proofErr w:type="spellStart"/>
      <w:r w:rsidRPr="00116F62">
        <w:rPr>
          <w:sz w:val="16"/>
          <w:szCs w:val="16"/>
          <w:lang w:val="fr-FR"/>
        </w:rPr>
        <w:t>Berchery</w:t>
      </w:r>
      <w:proofErr w:type="spellEnd"/>
      <w:r w:rsidRPr="00116F62">
        <w:rPr>
          <w:sz w:val="16"/>
          <w:szCs w:val="16"/>
          <w:lang w:val="fr-FR"/>
        </w:rPr>
        <w:t xml:space="preserve"> D, Rossignol G, </w:t>
      </w:r>
      <w:proofErr w:type="spellStart"/>
      <w:r w:rsidRPr="00116F62">
        <w:rPr>
          <w:sz w:val="16"/>
          <w:szCs w:val="16"/>
          <w:lang w:val="fr-FR"/>
        </w:rPr>
        <w:t>Poiree</w:t>
      </w:r>
      <w:proofErr w:type="spellEnd"/>
      <w:r w:rsidRPr="00116F62">
        <w:rPr>
          <w:sz w:val="16"/>
          <w:szCs w:val="16"/>
          <w:lang w:val="fr-FR"/>
        </w:rPr>
        <w:t xml:space="preserve"> B, </w:t>
      </w:r>
      <w:proofErr w:type="spellStart"/>
      <w:r w:rsidRPr="00116F62">
        <w:rPr>
          <w:sz w:val="16"/>
          <w:szCs w:val="16"/>
          <w:lang w:val="fr-FR"/>
        </w:rPr>
        <w:t>Meslier</w:t>
      </w:r>
      <w:proofErr w:type="spellEnd"/>
      <w:r w:rsidRPr="00116F62">
        <w:rPr>
          <w:sz w:val="16"/>
          <w:szCs w:val="16"/>
          <w:lang w:val="fr-FR"/>
        </w:rPr>
        <w:t xml:space="preserve"> M, et al. </w:t>
      </w:r>
      <w:r w:rsidRPr="00116F62">
        <w:rPr>
          <w:sz w:val="16"/>
          <w:szCs w:val="16"/>
        </w:rPr>
        <w:t xml:space="preserve">Prevalence, risk factors and clinical implications of malnutrition in French Comprehensive Cancer </w:t>
      </w:r>
      <w:proofErr w:type="spellStart"/>
      <w:r w:rsidRPr="00116F62">
        <w:rPr>
          <w:sz w:val="16"/>
          <w:szCs w:val="16"/>
        </w:rPr>
        <w:t>Centres</w:t>
      </w:r>
      <w:proofErr w:type="spellEnd"/>
      <w:r w:rsidRPr="00116F62">
        <w:rPr>
          <w:sz w:val="16"/>
          <w:szCs w:val="16"/>
        </w:rPr>
        <w:t>. Br J Cancer. 2010 Mar 16</w:t>
      </w:r>
      <w:proofErr w:type="gramStart"/>
      <w:r w:rsidRPr="00116F62">
        <w:rPr>
          <w:sz w:val="16"/>
          <w:szCs w:val="16"/>
        </w:rPr>
        <w:t>;102</w:t>
      </w:r>
      <w:proofErr w:type="gramEnd"/>
      <w:r w:rsidRPr="00116F62">
        <w:rPr>
          <w:sz w:val="16"/>
          <w:szCs w:val="16"/>
        </w:rPr>
        <w:t xml:space="preserve">(6):966–71. </w:t>
      </w:r>
    </w:p>
    <w:p w14:paraId="03DB1CFC" w14:textId="77777777" w:rsidR="00D15017" w:rsidRPr="00116F62" w:rsidRDefault="00D15017" w:rsidP="00D15017">
      <w:pPr>
        <w:pStyle w:val="Paragraphedeliste"/>
        <w:numPr>
          <w:ilvl w:val="0"/>
          <w:numId w:val="3"/>
        </w:numPr>
        <w:autoSpaceDE w:val="0"/>
        <w:autoSpaceDN w:val="0"/>
        <w:adjustRightInd w:val="0"/>
        <w:rPr>
          <w:sz w:val="16"/>
          <w:szCs w:val="16"/>
        </w:rPr>
      </w:pPr>
      <w:proofErr w:type="spellStart"/>
      <w:r w:rsidRPr="00116F62">
        <w:rPr>
          <w:sz w:val="16"/>
          <w:szCs w:val="16"/>
        </w:rPr>
        <w:t>Dewys</w:t>
      </w:r>
      <w:proofErr w:type="spellEnd"/>
      <w:r w:rsidRPr="00116F62">
        <w:rPr>
          <w:sz w:val="16"/>
          <w:szCs w:val="16"/>
        </w:rPr>
        <w:t xml:space="preserve"> WD, </w:t>
      </w:r>
      <w:proofErr w:type="spellStart"/>
      <w:r w:rsidRPr="00116F62">
        <w:rPr>
          <w:sz w:val="16"/>
          <w:szCs w:val="16"/>
        </w:rPr>
        <w:t>Begg</w:t>
      </w:r>
      <w:proofErr w:type="spellEnd"/>
      <w:r w:rsidRPr="00116F62">
        <w:rPr>
          <w:sz w:val="16"/>
          <w:szCs w:val="16"/>
        </w:rPr>
        <w:t xml:space="preserve"> C, Lavin PT, Band PR, Bennett JM, </w:t>
      </w:r>
      <w:proofErr w:type="spellStart"/>
      <w:r w:rsidRPr="00116F62">
        <w:rPr>
          <w:sz w:val="16"/>
          <w:szCs w:val="16"/>
        </w:rPr>
        <w:t>Bertino</w:t>
      </w:r>
      <w:proofErr w:type="spellEnd"/>
      <w:r w:rsidRPr="00116F62">
        <w:rPr>
          <w:sz w:val="16"/>
          <w:szCs w:val="16"/>
        </w:rPr>
        <w:t xml:space="preserve"> JR, et al. Prognostic effect of weight loss prior to chemotherapy in cancer patients. Eastern Cooperative Oncology Group. Am J Med. 1980 Oct</w:t>
      </w:r>
      <w:proofErr w:type="gramStart"/>
      <w:r w:rsidRPr="00116F62">
        <w:rPr>
          <w:sz w:val="16"/>
          <w:szCs w:val="16"/>
        </w:rPr>
        <w:t>;69</w:t>
      </w:r>
      <w:proofErr w:type="gramEnd"/>
      <w:r w:rsidRPr="00116F62">
        <w:rPr>
          <w:sz w:val="16"/>
          <w:szCs w:val="16"/>
        </w:rPr>
        <w:t xml:space="preserve">(4):491–7. </w:t>
      </w:r>
    </w:p>
    <w:p w14:paraId="07F39DDB" w14:textId="77777777" w:rsidR="00D15017" w:rsidRPr="00116F62" w:rsidRDefault="00D15017" w:rsidP="00D15017">
      <w:pPr>
        <w:pStyle w:val="Paragraphedeliste"/>
        <w:numPr>
          <w:ilvl w:val="0"/>
          <w:numId w:val="3"/>
        </w:numPr>
        <w:tabs>
          <w:tab w:val="left" w:pos="384"/>
        </w:tabs>
        <w:spacing w:line="216" w:lineRule="exact"/>
        <w:ind w:right="138" w:hanging="283"/>
        <w:rPr>
          <w:sz w:val="16"/>
          <w:szCs w:val="16"/>
        </w:rPr>
      </w:pPr>
      <w:proofErr w:type="gramStart"/>
      <w:r w:rsidRPr="00116F62">
        <w:rPr>
          <w:sz w:val="16"/>
          <w:szCs w:val="16"/>
        </w:rPr>
        <w:t>von</w:t>
      </w:r>
      <w:proofErr w:type="gramEnd"/>
      <w:r w:rsidRPr="00116F62">
        <w:rPr>
          <w:sz w:val="16"/>
          <w:szCs w:val="16"/>
        </w:rPr>
        <w:t xml:space="preserve"> </w:t>
      </w:r>
      <w:proofErr w:type="spellStart"/>
      <w:r w:rsidRPr="00116F62">
        <w:rPr>
          <w:sz w:val="16"/>
          <w:szCs w:val="16"/>
        </w:rPr>
        <w:t>Meyenfeldt</w:t>
      </w:r>
      <w:proofErr w:type="spellEnd"/>
      <w:r w:rsidRPr="00116F62">
        <w:rPr>
          <w:sz w:val="16"/>
          <w:szCs w:val="16"/>
        </w:rPr>
        <w:t xml:space="preserve"> M. Cancer-associated malnutrition: an introduction. </w:t>
      </w:r>
      <w:proofErr w:type="spellStart"/>
      <w:r w:rsidRPr="00116F62">
        <w:rPr>
          <w:sz w:val="16"/>
          <w:szCs w:val="16"/>
        </w:rPr>
        <w:t>Eur</w:t>
      </w:r>
      <w:proofErr w:type="spellEnd"/>
      <w:r w:rsidRPr="00116F62">
        <w:rPr>
          <w:sz w:val="16"/>
          <w:szCs w:val="16"/>
        </w:rPr>
        <w:t xml:space="preserve"> J </w:t>
      </w:r>
      <w:proofErr w:type="spellStart"/>
      <w:r w:rsidRPr="00116F62">
        <w:rPr>
          <w:sz w:val="16"/>
          <w:szCs w:val="16"/>
        </w:rPr>
        <w:t>Oncol</w:t>
      </w:r>
      <w:proofErr w:type="spellEnd"/>
      <w:r w:rsidRPr="00116F62">
        <w:rPr>
          <w:sz w:val="16"/>
          <w:szCs w:val="16"/>
        </w:rPr>
        <w:t xml:space="preserve"> </w:t>
      </w:r>
      <w:proofErr w:type="spellStart"/>
      <w:r w:rsidRPr="00116F62">
        <w:rPr>
          <w:sz w:val="16"/>
          <w:szCs w:val="16"/>
        </w:rPr>
        <w:t>Nurs</w:t>
      </w:r>
      <w:proofErr w:type="spellEnd"/>
      <w:r w:rsidRPr="00116F62">
        <w:rPr>
          <w:sz w:val="16"/>
          <w:szCs w:val="16"/>
        </w:rPr>
        <w:t xml:space="preserve"> Off J </w:t>
      </w:r>
      <w:proofErr w:type="spellStart"/>
      <w:r w:rsidRPr="00116F62">
        <w:rPr>
          <w:sz w:val="16"/>
          <w:szCs w:val="16"/>
        </w:rPr>
        <w:t>Eur</w:t>
      </w:r>
      <w:proofErr w:type="spellEnd"/>
      <w:r w:rsidRPr="00116F62">
        <w:rPr>
          <w:sz w:val="16"/>
          <w:szCs w:val="16"/>
        </w:rPr>
        <w:t xml:space="preserve"> </w:t>
      </w:r>
      <w:proofErr w:type="spellStart"/>
      <w:r w:rsidRPr="00116F62">
        <w:rPr>
          <w:sz w:val="16"/>
          <w:szCs w:val="16"/>
        </w:rPr>
        <w:t>Oncol</w:t>
      </w:r>
      <w:proofErr w:type="spellEnd"/>
      <w:r w:rsidRPr="00116F62">
        <w:rPr>
          <w:sz w:val="16"/>
          <w:szCs w:val="16"/>
        </w:rPr>
        <w:t xml:space="preserve"> </w:t>
      </w:r>
      <w:proofErr w:type="spellStart"/>
      <w:r w:rsidRPr="00116F62">
        <w:rPr>
          <w:sz w:val="16"/>
          <w:szCs w:val="16"/>
        </w:rPr>
        <w:t>Nurs</w:t>
      </w:r>
      <w:proofErr w:type="spellEnd"/>
      <w:r w:rsidRPr="00116F62">
        <w:rPr>
          <w:sz w:val="16"/>
          <w:szCs w:val="16"/>
        </w:rPr>
        <w:t xml:space="preserve"> Soc. 2005</w:t>
      </w:r>
      <w:proofErr w:type="gramStart"/>
      <w:r w:rsidRPr="00116F62">
        <w:rPr>
          <w:sz w:val="16"/>
          <w:szCs w:val="16"/>
        </w:rPr>
        <w:t>;9</w:t>
      </w:r>
      <w:proofErr w:type="gramEnd"/>
      <w:r w:rsidRPr="00116F62">
        <w:rPr>
          <w:sz w:val="16"/>
          <w:szCs w:val="16"/>
        </w:rPr>
        <w:t xml:space="preserve"> </w:t>
      </w:r>
      <w:proofErr w:type="spellStart"/>
      <w:r w:rsidRPr="00116F62">
        <w:rPr>
          <w:sz w:val="16"/>
          <w:szCs w:val="16"/>
        </w:rPr>
        <w:t>Suppl</w:t>
      </w:r>
      <w:proofErr w:type="spellEnd"/>
      <w:r w:rsidRPr="00116F62">
        <w:rPr>
          <w:sz w:val="16"/>
          <w:szCs w:val="16"/>
        </w:rPr>
        <w:t xml:space="preserve"> 2:S35-38.</w:t>
      </w:r>
    </w:p>
    <w:p w14:paraId="79FA7020" w14:textId="15613F11" w:rsidR="00AE3E37" w:rsidRPr="00C65E15" w:rsidRDefault="00D15017" w:rsidP="00C65E15">
      <w:pPr>
        <w:pStyle w:val="Paragraphedeliste"/>
        <w:numPr>
          <w:ilvl w:val="0"/>
          <w:numId w:val="3"/>
        </w:numPr>
        <w:tabs>
          <w:tab w:val="left" w:pos="384"/>
        </w:tabs>
        <w:spacing w:line="216" w:lineRule="exact"/>
        <w:ind w:right="138" w:hanging="283"/>
        <w:rPr>
          <w:sz w:val="16"/>
          <w:szCs w:val="16"/>
        </w:rPr>
        <w:sectPr w:rsidR="00AE3E37" w:rsidRPr="00C65E15">
          <w:type w:val="continuous"/>
          <w:pgSz w:w="11910" w:h="16840"/>
          <w:pgMar w:top="1740" w:right="600" w:bottom="840" w:left="620" w:header="720" w:footer="720" w:gutter="0"/>
          <w:cols w:num="2" w:space="720" w:equalWidth="0">
            <w:col w:w="5214" w:space="138"/>
            <w:col w:w="5338"/>
          </w:cols>
        </w:sectPr>
      </w:pPr>
      <w:r w:rsidRPr="00116F62">
        <w:rPr>
          <w:sz w:val="16"/>
          <w:szCs w:val="16"/>
        </w:rPr>
        <w:tab/>
      </w:r>
      <w:r w:rsidR="00C65E15" w:rsidRPr="00C65E15">
        <w:rPr>
          <w:rFonts w:asciiTheme="minorHAnsi" w:hAnsiTheme="minorHAnsi" w:cs="Times New Roman"/>
          <w:sz w:val="16"/>
          <w:szCs w:val="16"/>
        </w:rPr>
        <w:t xml:space="preserve">French Speaking Society of Clinical Nutrition and Metabolism (SFNEP). Clinical nutrition guidelines of the French Speaking Society of Clinical Nutrition and Metabolism (SFNEP): Summary of recommendations for adults undergoing non-surgical anticancer treatment. </w:t>
      </w:r>
      <w:proofErr w:type="gramStart"/>
      <w:r w:rsidR="00C65E15" w:rsidRPr="00C65E15">
        <w:rPr>
          <w:rFonts w:asciiTheme="minorHAnsi" w:hAnsiTheme="minorHAnsi" w:cs="Times New Roman"/>
          <w:sz w:val="16"/>
          <w:szCs w:val="16"/>
        </w:rPr>
        <w:t xml:space="preserve">Dig Liver Dis Off J </w:t>
      </w:r>
      <w:proofErr w:type="spellStart"/>
      <w:r w:rsidR="00C65E15" w:rsidRPr="00C65E15">
        <w:rPr>
          <w:rFonts w:asciiTheme="minorHAnsi" w:hAnsiTheme="minorHAnsi" w:cs="Times New Roman"/>
          <w:sz w:val="16"/>
          <w:szCs w:val="16"/>
        </w:rPr>
        <w:t>Ital</w:t>
      </w:r>
      <w:proofErr w:type="spellEnd"/>
      <w:r w:rsidR="00C65E15" w:rsidRPr="00C65E15">
        <w:rPr>
          <w:rFonts w:asciiTheme="minorHAnsi" w:hAnsiTheme="minorHAnsi" w:cs="Times New Roman"/>
          <w:sz w:val="16"/>
          <w:szCs w:val="16"/>
        </w:rPr>
        <w:t xml:space="preserve"> </w:t>
      </w:r>
      <w:proofErr w:type="spellStart"/>
      <w:r w:rsidR="00C65E15" w:rsidRPr="00C65E15">
        <w:rPr>
          <w:rFonts w:asciiTheme="minorHAnsi" w:hAnsiTheme="minorHAnsi" w:cs="Times New Roman"/>
          <w:sz w:val="16"/>
          <w:szCs w:val="16"/>
        </w:rPr>
        <w:t>Soc</w:t>
      </w:r>
      <w:proofErr w:type="spellEnd"/>
      <w:r w:rsidR="00C65E15" w:rsidRPr="00C65E15">
        <w:rPr>
          <w:rFonts w:asciiTheme="minorHAnsi" w:hAnsiTheme="minorHAnsi" w:cs="Times New Roman"/>
          <w:sz w:val="16"/>
          <w:szCs w:val="16"/>
        </w:rPr>
        <w:t xml:space="preserve"> </w:t>
      </w:r>
      <w:proofErr w:type="spellStart"/>
      <w:r w:rsidR="00C65E15" w:rsidRPr="00C65E15">
        <w:rPr>
          <w:rFonts w:asciiTheme="minorHAnsi" w:hAnsiTheme="minorHAnsi" w:cs="Times New Roman"/>
          <w:sz w:val="16"/>
          <w:szCs w:val="16"/>
        </w:rPr>
        <w:t>Gastroenterol</w:t>
      </w:r>
      <w:proofErr w:type="spellEnd"/>
      <w:r w:rsidR="00C65E15" w:rsidRPr="00C65E15">
        <w:rPr>
          <w:rFonts w:asciiTheme="minorHAnsi" w:hAnsiTheme="minorHAnsi" w:cs="Times New Roman"/>
          <w:sz w:val="16"/>
          <w:szCs w:val="16"/>
        </w:rPr>
        <w:t xml:space="preserve"> </w:t>
      </w:r>
      <w:proofErr w:type="spellStart"/>
      <w:r w:rsidR="00C65E15" w:rsidRPr="00C65E15">
        <w:rPr>
          <w:rFonts w:asciiTheme="minorHAnsi" w:hAnsiTheme="minorHAnsi" w:cs="Times New Roman"/>
          <w:sz w:val="16"/>
          <w:szCs w:val="16"/>
        </w:rPr>
        <w:t>Ital</w:t>
      </w:r>
      <w:proofErr w:type="spellEnd"/>
      <w:r w:rsidR="00C65E15" w:rsidRPr="00C65E15">
        <w:rPr>
          <w:rFonts w:asciiTheme="minorHAnsi" w:hAnsiTheme="minorHAnsi" w:cs="Times New Roman"/>
          <w:sz w:val="16"/>
          <w:szCs w:val="16"/>
        </w:rPr>
        <w:t xml:space="preserve"> </w:t>
      </w:r>
      <w:proofErr w:type="spellStart"/>
      <w:r w:rsidR="00C65E15" w:rsidRPr="00C65E15">
        <w:rPr>
          <w:rFonts w:asciiTheme="minorHAnsi" w:hAnsiTheme="minorHAnsi" w:cs="Times New Roman"/>
          <w:sz w:val="16"/>
          <w:szCs w:val="16"/>
        </w:rPr>
        <w:t>Assoc</w:t>
      </w:r>
      <w:proofErr w:type="spellEnd"/>
      <w:r w:rsidR="00C65E15" w:rsidRPr="00C65E15">
        <w:rPr>
          <w:rFonts w:asciiTheme="minorHAnsi" w:hAnsiTheme="minorHAnsi" w:cs="Times New Roman"/>
          <w:sz w:val="16"/>
          <w:szCs w:val="16"/>
        </w:rPr>
        <w:t xml:space="preserve"> Study Liver.</w:t>
      </w:r>
      <w:proofErr w:type="gramEnd"/>
      <w:r w:rsidR="00C65E15" w:rsidRPr="00C65E15">
        <w:rPr>
          <w:rFonts w:asciiTheme="minorHAnsi" w:hAnsiTheme="minorHAnsi" w:cs="Times New Roman"/>
          <w:sz w:val="16"/>
          <w:szCs w:val="16"/>
        </w:rPr>
        <w:t xml:space="preserve"> 2014 Aug</w:t>
      </w:r>
      <w:proofErr w:type="gramStart"/>
      <w:r w:rsidR="00C65E15" w:rsidRPr="00C65E15">
        <w:rPr>
          <w:rFonts w:asciiTheme="minorHAnsi" w:hAnsiTheme="minorHAnsi" w:cs="Times New Roman"/>
          <w:sz w:val="16"/>
          <w:szCs w:val="16"/>
        </w:rPr>
        <w:t>;46</w:t>
      </w:r>
      <w:proofErr w:type="gramEnd"/>
      <w:r w:rsidR="00C65E15" w:rsidRPr="00C65E15">
        <w:rPr>
          <w:rFonts w:asciiTheme="minorHAnsi" w:hAnsiTheme="minorHAnsi" w:cs="Times New Roman"/>
          <w:sz w:val="16"/>
          <w:szCs w:val="16"/>
        </w:rPr>
        <w:t>(8):667–74.</w:t>
      </w:r>
    </w:p>
    <w:p w14:paraId="17AC7CBB" w14:textId="77777777" w:rsidR="00AE3E37" w:rsidRPr="00116F62" w:rsidRDefault="00AE3E37">
      <w:pPr>
        <w:pStyle w:val="Corpsdetexte"/>
        <w:rPr>
          <w:rFonts w:ascii="Calibri"/>
          <w:sz w:val="16"/>
          <w:szCs w:val="16"/>
        </w:rPr>
      </w:pPr>
    </w:p>
    <w:p w14:paraId="4F39C436" w14:textId="77777777"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5325097E" wp14:editId="4EEA0AB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62920E2" w14:textId="77777777" w:rsidR="00AE3E37" w:rsidRDefault="008756E6" w:rsidP="00404E5B">
      <w:pPr>
        <w:spacing w:before="92"/>
        <w:ind w:right="4234"/>
        <w:rPr>
          <w:rFonts w:ascii="Arial"/>
        </w:rPr>
      </w:pPr>
      <w:r>
        <w:rPr>
          <w:noProof/>
        </w:rPr>
        <w:t xml:space="preserve">              </w:t>
      </w:r>
      <w:r>
        <w:rPr>
          <w:noProof/>
          <w:lang w:val="fr-FR" w:eastAsia="fr-FR"/>
        </w:rPr>
        <w:drawing>
          <wp:inline distT="0" distB="0" distL="0" distR="0" wp14:anchorId="03AA6741" wp14:editId="3B47C862">
            <wp:extent cx="614204"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14204"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22DF7311" w14:textId="77777777" w:rsidR="00AE3E37" w:rsidRDefault="00116F62">
      <w:pPr>
        <w:spacing w:before="41" w:line="154" w:lineRule="exact"/>
        <w:ind w:left="213" w:right="231"/>
        <w:jc w:val="both"/>
        <w:rPr>
          <w:rFonts w:ascii="Arial"/>
          <w:sz w:val="14"/>
        </w:rPr>
      </w:pPr>
      <w:r>
        <w:rPr>
          <w:rFonts w:ascii="Arial"/>
          <w:sz w:val="14"/>
        </w:rPr>
        <w:t xml:space="preserve">Pauline </w:t>
      </w:r>
      <w:proofErr w:type="spellStart"/>
      <w:r>
        <w:rPr>
          <w:rFonts w:ascii="Arial"/>
          <w:sz w:val="14"/>
        </w:rPr>
        <w:t>Corbaux</w:t>
      </w:r>
      <w:proofErr w:type="spellEnd"/>
      <w:r>
        <w:rPr>
          <w:rFonts w:ascii="Arial"/>
          <w:sz w:val="14"/>
        </w:rPr>
        <w:t xml:space="preserve"> is resident</w:t>
      </w:r>
      <w:r w:rsidR="00ED790B">
        <w:rPr>
          <w:rFonts w:ascii="Arial"/>
          <w:sz w:val="14"/>
        </w:rPr>
        <w:t xml:space="preserve"> in second year of medical oncology</w:t>
      </w:r>
      <w:r>
        <w:rPr>
          <w:rFonts w:ascii="Arial"/>
          <w:sz w:val="14"/>
        </w:rPr>
        <w:t xml:space="preserve"> in Lyon, France. She is involved in clinical research a</w:t>
      </w:r>
      <w:r w:rsidR="005A433F">
        <w:rPr>
          <w:rFonts w:ascii="Arial"/>
          <w:sz w:val="14"/>
        </w:rPr>
        <w:t>bout nutrition and oncology, working</w:t>
      </w:r>
      <w:r>
        <w:rPr>
          <w:rFonts w:ascii="Arial"/>
          <w:sz w:val="14"/>
        </w:rPr>
        <w:t xml:space="preserve"> in collaboration with Bruno </w:t>
      </w:r>
      <w:proofErr w:type="spellStart"/>
      <w:r>
        <w:rPr>
          <w:rFonts w:ascii="Arial"/>
          <w:sz w:val="14"/>
        </w:rPr>
        <w:t>Raynard</w:t>
      </w:r>
      <w:proofErr w:type="spellEnd"/>
      <w:r>
        <w:rPr>
          <w:rFonts w:ascii="Arial"/>
          <w:sz w:val="14"/>
        </w:rPr>
        <w:t>,</w:t>
      </w:r>
      <w:r w:rsidR="00007B95">
        <w:rPr>
          <w:rFonts w:ascii="Arial"/>
          <w:sz w:val="14"/>
        </w:rPr>
        <w:t xml:space="preserve"> PhD and</w:t>
      </w:r>
      <w:r>
        <w:rPr>
          <w:rFonts w:ascii="Arial"/>
          <w:sz w:val="14"/>
        </w:rPr>
        <w:t xml:space="preserve"> head of </w:t>
      </w:r>
      <w:r w:rsidR="00007B95">
        <w:rPr>
          <w:rFonts w:ascii="Arial"/>
          <w:sz w:val="14"/>
        </w:rPr>
        <w:t>cross-sectional unit of dietetic and</w:t>
      </w:r>
      <w:r>
        <w:rPr>
          <w:rFonts w:ascii="Arial"/>
          <w:sz w:val="14"/>
        </w:rPr>
        <w:t xml:space="preserve"> </w:t>
      </w:r>
      <w:r w:rsidR="00007B95">
        <w:rPr>
          <w:rFonts w:ascii="Arial"/>
          <w:sz w:val="14"/>
        </w:rPr>
        <w:t>nutrition of</w:t>
      </w:r>
      <w:r>
        <w:rPr>
          <w:rFonts w:ascii="Arial"/>
          <w:sz w:val="14"/>
        </w:rPr>
        <w:t xml:space="preserve"> the institute Gustave </w:t>
      </w:r>
      <w:proofErr w:type="spellStart"/>
      <w:r>
        <w:rPr>
          <w:rFonts w:ascii="Arial"/>
          <w:sz w:val="14"/>
        </w:rPr>
        <w:t>Roussy</w:t>
      </w:r>
      <w:proofErr w:type="gramStart"/>
      <w:r>
        <w:rPr>
          <w:rFonts w:ascii="Arial"/>
          <w:sz w:val="14"/>
        </w:rPr>
        <w:t>,Villejuif</w:t>
      </w:r>
      <w:proofErr w:type="spellEnd"/>
      <w:proofErr w:type="gramEnd"/>
      <w:r>
        <w:rPr>
          <w:rFonts w:ascii="Arial"/>
          <w:sz w:val="14"/>
        </w:rPr>
        <w:t>.</w:t>
      </w:r>
    </w:p>
    <w:p w14:paraId="714E1B7B" w14:textId="77777777" w:rsidR="00AE3E37" w:rsidRPr="00116F62" w:rsidRDefault="00A9710C" w:rsidP="00116F62">
      <w:pPr>
        <w:spacing w:before="62"/>
        <w:ind w:left="4217" w:right="4235"/>
        <w:jc w:val="center"/>
        <w:rPr>
          <w:rFonts w:ascii="Arial"/>
          <w:sz w:val="14"/>
        </w:rPr>
      </w:pPr>
      <w:r>
        <w:rPr>
          <w:rFonts w:ascii="Arial"/>
          <w:sz w:val="14"/>
        </w:rPr>
        <w:t xml:space="preserve">Email: </w:t>
      </w:r>
      <w:proofErr w:type="spellStart"/>
      <w:r w:rsidR="00116F62">
        <w:rPr>
          <w:rFonts w:ascii="Arial"/>
          <w:sz w:val="14"/>
        </w:rPr>
        <w:t>pauline.corbaux@g</w:t>
      </w:r>
      <w:r w:rsidR="00007B95">
        <w:rPr>
          <w:rFonts w:ascii="Arial"/>
          <w:sz w:val="14"/>
        </w:rPr>
        <w:t>mailo</w:t>
      </w:r>
      <w:r w:rsidR="00116F62">
        <w:rPr>
          <w:rFonts w:ascii="Arial"/>
          <w:sz w:val="14"/>
        </w:rPr>
        <w:t>com</w:t>
      </w:r>
      <w:proofErr w:type="spellEnd"/>
      <w:r w:rsidR="00292ED9">
        <w:rPr>
          <w:noProof/>
          <w:lang w:val="fr-FR" w:eastAsia="fr-FR"/>
        </w:rPr>
        <mc:AlternateContent>
          <mc:Choice Requires="wps">
            <w:drawing>
              <wp:anchor distT="0" distB="0" distL="0" distR="0" simplePos="0" relativeHeight="1072" behindDoc="0" locked="0" layoutInCell="1" allowOverlap="1" wp14:anchorId="4BDF320A" wp14:editId="4C8F8CB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C812263" w14:textId="77777777" w:rsidR="00AE3E37" w:rsidRPr="00B21A57" w:rsidRDefault="00A9710C">
      <w:pPr>
        <w:spacing w:before="39"/>
        <w:ind w:left="100"/>
        <w:rPr>
          <w:rFonts w:ascii="Minion Pro"/>
          <w:b/>
          <w:sz w:val="20"/>
        </w:rPr>
      </w:pPr>
      <w:r w:rsidRPr="00B21A57">
        <w:rPr>
          <w:rFonts w:ascii="Minion Pro"/>
          <w:b/>
          <w:sz w:val="20"/>
        </w:rPr>
        <w:t>Notes/Comments:</w:t>
      </w:r>
    </w:p>
    <w:p w14:paraId="61110E9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669ED3B" w14:textId="77777777"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25AD85" w14:textId="77777777" w:rsidR="001975B5" w:rsidRDefault="001975B5">
      <w:r>
        <w:separator/>
      </w:r>
    </w:p>
  </w:endnote>
  <w:endnote w:type="continuationSeparator" w:id="0">
    <w:p w14:paraId="195062E1" w14:textId="77777777" w:rsidR="001975B5" w:rsidRDefault="00197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A00002EF" w:usb1="4000207B" w:usb2="00000000" w:usb3="00000000" w:csb0="0000009F" w:csb1="00000000"/>
  </w:font>
  <w:font w:name="Times New Roman">
    <w:panose1 w:val="02020603050405020304"/>
    <w:charset w:val="00"/>
    <w:family w:val="auto"/>
    <w:pitch w:val="variable"/>
    <w:sig w:usb0="00002A87" w:usb1="80000000" w:usb2="00000008"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00002A87" w:usb1="80000000" w:usb2="00000008"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A00002EF" w:usb1="4000004B" w:usb2="00000000" w:usb3="00000000" w:csb0="0000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9D97EC" w14:textId="77777777" w:rsidR="001975B5" w:rsidRDefault="001975B5">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45211B11" wp14:editId="2218264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062E1" w14:textId="77777777" w:rsidR="001975B5" w:rsidRPr="005B3A56" w:rsidRDefault="001975B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59E4162" w14:textId="77777777" w:rsidR="001975B5" w:rsidRPr="005B3A56" w:rsidRDefault="001975B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7EC062E1" w14:textId="77777777" w:rsidR="001975B5" w:rsidRPr="005B3A56" w:rsidRDefault="001975B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59E4162" w14:textId="77777777" w:rsidR="001975B5" w:rsidRPr="005B3A56" w:rsidRDefault="001975B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1380659B" wp14:editId="3FC6A4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D2600" w14:textId="77777777" w:rsidR="001975B5" w:rsidRPr="005B3A56" w:rsidRDefault="001975B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97B446" w14:textId="77777777" w:rsidR="001975B5" w:rsidRPr="005B3A56" w:rsidRDefault="001975B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6AD2600" w14:textId="77777777" w:rsidR="001975B5" w:rsidRPr="005B3A56" w:rsidRDefault="001975B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97B446" w14:textId="77777777" w:rsidR="001975B5" w:rsidRPr="005B3A56" w:rsidRDefault="001975B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42A3ACBC" wp14:editId="1C26774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5997B" w14:textId="77777777" w:rsidR="001975B5" w:rsidRPr="005B3A56" w:rsidRDefault="001975B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73DC638" w14:textId="77777777" w:rsidR="001975B5" w:rsidRPr="005B3A56" w:rsidRDefault="001975B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34E5997B" w14:textId="77777777" w:rsidR="001975B5" w:rsidRPr="005B3A56" w:rsidRDefault="001975B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73DC638" w14:textId="77777777" w:rsidR="001975B5" w:rsidRPr="005B3A56" w:rsidRDefault="001975B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151AB9" w14:textId="77777777" w:rsidR="001975B5" w:rsidRDefault="001975B5">
      <w:r>
        <w:separator/>
      </w:r>
    </w:p>
  </w:footnote>
  <w:footnote w:type="continuationSeparator" w:id="0">
    <w:p w14:paraId="1216DDE8" w14:textId="77777777" w:rsidR="001975B5" w:rsidRDefault="001975B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8D962" w14:textId="77777777" w:rsidR="001975B5" w:rsidRDefault="001975B5">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04F0C818" wp14:editId="2438E65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A7D24" w14:textId="77777777" w:rsidR="001975B5" w:rsidRPr="003A7CF6" w:rsidRDefault="001975B5">
                          <w:pPr>
                            <w:spacing w:before="2" w:line="249" w:lineRule="auto"/>
                            <w:ind w:left="156" w:right="18" w:hanging="137"/>
                            <w:rPr>
                              <w:rFonts w:ascii="Arial"/>
                              <w:color w:val="FFFFFF" w:themeColor="background1"/>
                              <w:sz w:val="14"/>
                              <w:lang w:val="fr-FR"/>
                            </w:rPr>
                          </w:pPr>
                          <w:r w:rsidRPr="003A7CF6">
                            <w:rPr>
                              <w:rFonts w:ascii="Arial"/>
                              <w:color w:val="FFFFFF" w:themeColor="background1"/>
                              <w:sz w:val="14"/>
                              <w:lang w:val="fr-FR"/>
                            </w:rPr>
                            <w:t xml:space="preserve">T Furuta et </w:t>
                          </w:r>
                          <w:proofErr w:type="gramStart"/>
                          <w:r w:rsidRPr="003A7CF6">
                            <w:rPr>
                              <w:rFonts w:ascii="Arial"/>
                              <w:color w:val="FFFFFF" w:themeColor="background1"/>
                              <w:sz w:val="14"/>
                              <w:lang w:val="fr-FR"/>
                            </w:rPr>
                            <w:t>al.,</w:t>
                          </w:r>
                          <w:proofErr w:type="gramEnd"/>
                          <w:r w:rsidRPr="003A7CF6">
                            <w:rPr>
                              <w:rFonts w:ascii="Arial"/>
                              <w:color w:val="FFFFFF" w:themeColor="background1"/>
                              <w:sz w:val="14"/>
                              <w:lang w:val="fr-FR"/>
                            </w:rPr>
                            <w:t xml:space="preserve"> J </w:t>
                          </w:r>
                          <w:proofErr w:type="spellStart"/>
                          <w:r w:rsidRPr="003A7CF6">
                            <w:rPr>
                              <w:rFonts w:ascii="Arial"/>
                              <w:color w:val="FFFFFF" w:themeColor="background1"/>
                              <w:sz w:val="14"/>
                              <w:lang w:val="fr-FR"/>
                            </w:rPr>
                            <w:t>Pai</w:t>
                          </w:r>
                          <w:proofErr w:type="spellEnd"/>
                          <w:r w:rsidRPr="003A7CF6">
                            <w:rPr>
                              <w:rFonts w:ascii="Arial"/>
                              <w:color w:val="FFFFFF" w:themeColor="background1"/>
                              <w:sz w:val="14"/>
                              <w:lang w:val="fr-FR"/>
                            </w:rPr>
                            <w:t xml:space="preserve"> n Relief 2016, 5:3(</w:t>
                          </w:r>
                          <w:proofErr w:type="spellStart"/>
                          <w:r w:rsidRPr="003A7CF6">
                            <w:rPr>
                              <w:rFonts w:ascii="Arial"/>
                              <w:color w:val="FFFFFF" w:themeColor="background1"/>
                              <w:sz w:val="14"/>
                              <w:lang w:val="fr-FR"/>
                            </w:rPr>
                            <w:t>Suppl</w:t>
                          </w:r>
                          <w:proofErr w:type="spellEnd"/>
                          <w:r w:rsidRPr="003A7CF6">
                            <w:rPr>
                              <w:rFonts w:ascii="Arial"/>
                              <w:color w:val="FFFFFF" w:themeColor="background1"/>
                              <w:sz w:val="14"/>
                              <w:lang w:val="fr-FR"/>
                            </w:rPr>
                            <w:t xml:space="preserve">) </w:t>
                          </w:r>
                          <w:hyperlink r:id="rId1">
                            <w:r w:rsidRPr="003A7CF6">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0ABA7D24" w14:textId="77777777" w:rsidR="001975B5" w:rsidRPr="003A7CF6" w:rsidRDefault="001975B5">
                    <w:pPr>
                      <w:spacing w:before="2" w:line="249" w:lineRule="auto"/>
                      <w:ind w:left="156" w:right="18" w:hanging="137"/>
                      <w:rPr>
                        <w:rFonts w:ascii="Arial"/>
                        <w:color w:val="FFFFFF" w:themeColor="background1"/>
                        <w:sz w:val="14"/>
                        <w:lang w:val="fr-FR"/>
                      </w:rPr>
                    </w:pPr>
                    <w:r w:rsidRPr="003A7CF6">
                      <w:rPr>
                        <w:rFonts w:ascii="Arial"/>
                        <w:color w:val="FFFFFF" w:themeColor="background1"/>
                        <w:sz w:val="14"/>
                        <w:lang w:val="fr-FR"/>
                      </w:rPr>
                      <w:t xml:space="preserve">T Furuta et </w:t>
                    </w:r>
                    <w:proofErr w:type="gramStart"/>
                    <w:r w:rsidRPr="003A7CF6">
                      <w:rPr>
                        <w:rFonts w:ascii="Arial"/>
                        <w:color w:val="FFFFFF" w:themeColor="background1"/>
                        <w:sz w:val="14"/>
                        <w:lang w:val="fr-FR"/>
                      </w:rPr>
                      <w:t>al.,</w:t>
                    </w:r>
                    <w:proofErr w:type="gramEnd"/>
                    <w:r w:rsidRPr="003A7CF6">
                      <w:rPr>
                        <w:rFonts w:ascii="Arial"/>
                        <w:color w:val="FFFFFF" w:themeColor="background1"/>
                        <w:sz w:val="14"/>
                        <w:lang w:val="fr-FR"/>
                      </w:rPr>
                      <w:t xml:space="preserve"> J </w:t>
                    </w:r>
                    <w:proofErr w:type="spellStart"/>
                    <w:r w:rsidRPr="003A7CF6">
                      <w:rPr>
                        <w:rFonts w:ascii="Arial"/>
                        <w:color w:val="FFFFFF" w:themeColor="background1"/>
                        <w:sz w:val="14"/>
                        <w:lang w:val="fr-FR"/>
                      </w:rPr>
                      <w:t>Pai</w:t>
                    </w:r>
                    <w:proofErr w:type="spellEnd"/>
                    <w:r w:rsidRPr="003A7CF6">
                      <w:rPr>
                        <w:rFonts w:ascii="Arial"/>
                        <w:color w:val="FFFFFF" w:themeColor="background1"/>
                        <w:sz w:val="14"/>
                        <w:lang w:val="fr-FR"/>
                      </w:rPr>
                      <w:t xml:space="preserve"> n Relief 2016, 5:3(</w:t>
                    </w:r>
                    <w:proofErr w:type="spellStart"/>
                    <w:r w:rsidRPr="003A7CF6">
                      <w:rPr>
                        <w:rFonts w:ascii="Arial"/>
                        <w:color w:val="FFFFFF" w:themeColor="background1"/>
                        <w:sz w:val="14"/>
                        <w:lang w:val="fr-FR"/>
                      </w:rPr>
                      <w:t>Suppl</w:t>
                    </w:r>
                    <w:proofErr w:type="spellEnd"/>
                    <w:r w:rsidRPr="003A7CF6">
                      <w:rPr>
                        <w:rFonts w:ascii="Arial"/>
                        <w:color w:val="FFFFFF" w:themeColor="background1"/>
                        <w:sz w:val="14"/>
                        <w:lang w:val="fr-FR"/>
                      </w:rPr>
                      <w:t xml:space="preserve">) </w:t>
                    </w:r>
                    <w:hyperlink r:id="rId2">
                      <w:r w:rsidRPr="003A7CF6">
                        <w:rPr>
                          <w:rFonts w:ascii="Arial"/>
                          <w:color w:val="FFFFFF" w:themeColor="background1"/>
                          <w:sz w:val="14"/>
                          <w:lang w:val="fr-FR"/>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35E92BC3" wp14:editId="4D40AC5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8B0E3" w14:textId="77777777" w:rsidR="001975B5" w:rsidRPr="005B3A56" w:rsidRDefault="001975B5">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6E6A5C4" w14:textId="77777777" w:rsidR="001975B5" w:rsidRPr="005B3A56" w:rsidRDefault="001975B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138B0E3" w14:textId="77777777" w:rsidR="001975B5" w:rsidRPr="005B3A56" w:rsidRDefault="001975B5">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6E6A5C4" w14:textId="77777777" w:rsidR="001975B5" w:rsidRPr="005B3A56" w:rsidRDefault="001975B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B95"/>
    <w:rsid w:val="00077278"/>
    <w:rsid w:val="000E2911"/>
    <w:rsid w:val="00116F62"/>
    <w:rsid w:val="001263DF"/>
    <w:rsid w:val="001975B5"/>
    <w:rsid w:val="00240AB2"/>
    <w:rsid w:val="002455EC"/>
    <w:rsid w:val="00292ED9"/>
    <w:rsid w:val="002D0492"/>
    <w:rsid w:val="003A7CF6"/>
    <w:rsid w:val="00404E5B"/>
    <w:rsid w:val="00414F7B"/>
    <w:rsid w:val="004355DC"/>
    <w:rsid w:val="004749B4"/>
    <w:rsid w:val="00494130"/>
    <w:rsid w:val="004F3523"/>
    <w:rsid w:val="005973B9"/>
    <w:rsid w:val="005A433F"/>
    <w:rsid w:val="005B3A56"/>
    <w:rsid w:val="005D7F5D"/>
    <w:rsid w:val="006060CE"/>
    <w:rsid w:val="0063497F"/>
    <w:rsid w:val="006806AB"/>
    <w:rsid w:val="00733E06"/>
    <w:rsid w:val="007809F9"/>
    <w:rsid w:val="00873DF0"/>
    <w:rsid w:val="008756E6"/>
    <w:rsid w:val="008A08B6"/>
    <w:rsid w:val="009B2D44"/>
    <w:rsid w:val="009C1C4E"/>
    <w:rsid w:val="00A07E82"/>
    <w:rsid w:val="00A9710C"/>
    <w:rsid w:val="00AD5310"/>
    <w:rsid w:val="00AE3E37"/>
    <w:rsid w:val="00B21A57"/>
    <w:rsid w:val="00C33602"/>
    <w:rsid w:val="00C65E15"/>
    <w:rsid w:val="00CD6F55"/>
    <w:rsid w:val="00CE05FD"/>
    <w:rsid w:val="00D15017"/>
    <w:rsid w:val="00DE3104"/>
    <w:rsid w:val="00E26B10"/>
    <w:rsid w:val="00ED790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B898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chart" Target="charts/chart1.xml"/><Relationship Id="rId12" Type="http://schemas.openxmlformats.org/officeDocument/2006/relationships/image" Target="media/image1.jpe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25"/>
    </mc:Choice>
    <mc:Fallback>
      <c:style val="25"/>
    </mc:Fallback>
  </mc:AlternateContent>
  <c:chart>
    <c:title>
      <c:tx>
        <c:rich>
          <a:bodyPr/>
          <a:lstStyle/>
          <a:p>
            <a:pPr>
              <a:defRPr sz="900">
                <a:solidFill>
                  <a:schemeClr val="dk1"/>
                </a:solidFill>
                <a:latin typeface="Tw Cen MT"/>
                <a:ea typeface="+mn-ea"/>
                <a:cs typeface="Tw Cen MT"/>
              </a:defRPr>
            </a:pPr>
            <a:r>
              <a:rPr lang="fr-FR" sz="900" b="0" i="0">
                <a:solidFill>
                  <a:schemeClr val="dk1"/>
                </a:solidFill>
                <a:latin typeface="Tw Cen MT"/>
                <a:ea typeface="+mn-ea"/>
                <a:cs typeface="Tw Cen MT"/>
              </a:rPr>
              <a:t> Nutritionnal assessment according to nutritionnal status </a:t>
            </a:r>
            <a:endParaRPr lang="fr-FR" sz="900" b="0" i="0">
              <a:latin typeface="Tw Cen MT"/>
              <a:cs typeface="Tw Cen MT"/>
            </a:endParaRPr>
          </a:p>
        </c:rich>
      </c:tx>
      <c:layout>
        <c:manualLayout>
          <c:xMode val="edge"/>
          <c:yMode val="edge"/>
          <c:x val="0.146127618119825"/>
          <c:y val="0.014732196530402"/>
        </c:manualLayout>
      </c:layout>
      <c:overlay val="0"/>
      <c:spPr>
        <a:solidFill>
          <a:schemeClr val="lt1"/>
        </a:solidFill>
        <a:ln w="25400" cap="flat" cmpd="sng" algn="ctr">
          <a:solidFill>
            <a:schemeClr val="bg1"/>
          </a:solidFill>
          <a:prstDash val="solid"/>
        </a:ln>
        <a:effectLst/>
      </c:spPr>
    </c:title>
    <c:autoTitleDeleted val="0"/>
    <c:plotArea>
      <c:layout>
        <c:manualLayout>
          <c:layoutTarget val="inner"/>
          <c:xMode val="edge"/>
          <c:yMode val="edge"/>
          <c:x val="0.0263950201548723"/>
          <c:y val="0.0"/>
          <c:w val="0.886129380583096"/>
          <c:h val="0.680714292531615"/>
        </c:manualLayout>
      </c:layout>
      <c:barChart>
        <c:barDir val="col"/>
        <c:grouping val="clustered"/>
        <c:varyColors val="0"/>
        <c:ser>
          <c:idx val="0"/>
          <c:order val="0"/>
          <c:tx>
            <c:strRef>
              <c:f>Feuil1!$B$1</c:f>
              <c:strCache>
                <c:ptCount val="1"/>
                <c:pt idx="0">
                  <c:v>weight, height, BMI</c:v>
                </c:pt>
              </c:strCache>
            </c:strRef>
          </c:tx>
          <c:spPr>
            <a:solidFill>
              <a:srgbClr val="C00000"/>
            </a:solidFill>
          </c:spPr>
          <c:invertIfNegative val="0"/>
          <c:dLbls>
            <c:txPr>
              <a:bodyPr/>
              <a:lstStyle/>
              <a:p>
                <a:pPr>
                  <a:defRPr sz="900" b="1">
                    <a:latin typeface="Tw Cen MT"/>
                    <a:cs typeface="Tw Cen MT"/>
                  </a:defRPr>
                </a:pPr>
                <a:endParaRPr lang="fr-FR"/>
              </a:p>
            </c:txPr>
            <c:showLegendKey val="0"/>
            <c:showVal val="1"/>
            <c:showCatName val="0"/>
            <c:showSerName val="0"/>
            <c:showPercent val="0"/>
            <c:showBubbleSize val="0"/>
            <c:showLeaderLines val="0"/>
          </c:dLbls>
          <c:cat>
            <c:strRef>
              <c:f>Feuil1!$A$2:$A$5</c:f>
              <c:strCache>
                <c:ptCount val="4"/>
                <c:pt idx="0">
                  <c:v>At initial diagnosis (all patients)</c:v>
                </c:pt>
                <c:pt idx="1">
                  <c:v>At initial diagnosis of malnourished patients</c:v>
                </c:pt>
                <c:pt idx="2">
                  <c:v>Follow-up of patients at risk of malnutrition</c:v>
                </c:pt>
                <c:pt idx="3">
                  <c:v>Follow-up of malnourished patients</c:v>
                </c:pt>
              </c:strCache>
            </c:strRef>
          </c:cat>
          <c:val>
            <c:numRef>
              <c:f>Feuil1!$B$2:$B$5</c:f>
              <c:numCache>
                <c:formatCode>0.0%</c:formatCode>
                <c:ptCount val="4"/>
                <c:pt idx="0">
                  <c:v>0.961</c:v>
                </c:pt>
                <c:pt idx="1">
                  <c:v>0.872</c:v>
                </c:pt>
                <c:pt idx="2">
                  <c:v>0.852</c:v>
                </c:pt>
                <c:pt idx="3">
                  <c:v>0.867</c:v>
                </c:pt>
              </c:numCache>
            </c:numRef>
          </c:val>
        </c:ser>
        <c:ser>
          <c:idx val="1"/>
          <c:order val="1"/>
          <c:tx>
            <c:strRef>
              <c:f>Feuil1!$C$1</c:f>
              <c:strCache>
                <c:ptCount val="1"/>
                <c:pt idx="0">
                  <c:v>weight loss</c:v>
                </c:pt>
              </c:strCache>
            </c:strRef>
          </c:tx>
          <c:spPr>
            <a:solidFill>
              <a:schemeClr val="accent6">
                <a:lumMod val="75000"/>
              </a:schemeClr>
            </a:solidFill>
          </c:spPr>
          <c:invertIfNegative val="0"/>
          <c:dLbls>
            <c:txPr>
              <a:bodyPr/>
              <a:lstStyle/>
              <a:p>
                <a:pPr>
                  <a:defRPr sz="900" b="1">
                    <a:latin typeface="Tw Cen MT"/>
                    <a:cs typeface="Tw Cen MT"/>
                  </a:defRPr>
                </a:pPr>
                <a:endParaRPr lang="fr-FR"/>
              </a:p>
            </c:txPr>
            <c:showLegendKey val="0"/>
            <c:showVal val="1"/>
            <c:showCatName val="0"/>
            <c:showSerName val="0"/>
            <c:showPercent val="0"/>
            <c:showBubbleSize val="0"/>
            <c:showLeaderLines val="0"/>
          </c:dLbls>
          <c:cat>
            <c:strRef>
              <c:f>Feuil1!$A$2:$A$5</c:f>
              <c:strCache>
                <c:ptCount val="4"/>
                <c:pt idx="0">
                  <c:v>At initial diagnosis (all patients)</c:v>
                </c:pt>
                <c:pt idx="1">
                  <c:v>At initial diagnosis of malnourished patients</c:v>
                </c:pt>
                <c:pt idx="2">
                  <c:v>Follow-up of patients at risk of malnutrition</c:v>
                </c:pt>
                <c:pt idx="3">
                  <c:v>Follow-up of malnourished patients</c:v>
                </c:pt>
              </c:strCache>
            </c:strRef>
          </c:cat>
          <c:val>
            <c:numRef>
              <c:f>Feuil1!$C$2:$C$5</c:f>
              <c:numCache>
                <c:formatCode>0.0%</c:formatCode>
                <c:ptCount val="4"/>
                <c:pt idx="0">
                  <c:v>0.793</c:v>
                </c:pt>
                <c:pt idx="1">
                  <c:v>0.803</c:v>
                </c:pt>
                <c:pt idx="2">
                  <c:v>0.675</c:v>
                </c:pt>
                <c:pt idx="3">
                  <c:v>0.704</c:v>
                </c:pt>
              </c:numCache>
            </c:numRef>
          </c:val>
        </c:ser>
        <c:ser>
          <c:idx val="2"/>
          <c:order val="2"/>
          <c:tx>
            <c:strRef>
              <c:f>Feuil1!$D$1</c:f>
              <c:strCache>
                <c:ptCount val="1"/>
                <c:pt idx="0">
                  <c:v>arm/calf circumference</c:v>
                </c:pt>
              </c:strCache>
            </c:strRef>
          </c:tx>
          <c:spPr>
            <a:solidFill>
              <a:srgbClr val="FFC000"/>
            </a:solidFill>
          </c:spPr>
          <c:invertIfNegative val="0"/>
          <c:cat>
            <c:strRef>
              <c:f>Feuil1!$A$2:$A$5</c:f>
              <c:strCache>
                <c:ptCount val="4"/>
                <c:pt idx="0">
                  <c:v>At initial diagnosis (all patients)</c:v>
                </c:pt>
                <c:pt idx="1">
                  <c:v>At initial diagnosis of malnourished patients</c:v>
                </c:pt>
                <c:pt idx="2">
                  <c:v>Follow-up of patients at risk of malnutrition</c:v>
                </c:pt>
                <c:pt idx="3">
                  <c:v>Follow-up of malnourished patients</c:v>
                </c:pt>
              </c:strCache>
            </c:strRef>
          </c:cat>
          <c:val>
            <c:numRef>
              <c:f>Feuil1!$D$2:$D$5</c:f>
              <c:numCache>
                <c:formatCode>0.0%</c:formatCode>
                <c:ptCount val="4"/>
                <c:pt idx="0">
                  <c:v>0.005</c:v>
                </c:pt>
                <c:pt idx="1">
                  <c:v>0.02</c:v>
                </c:pt>
                <c:pt idx="2">
                  <c:v>0.015</c:v>
                </c:pt>
                <c:pt idx="3">
                  <c:v>0.034</c:v>
                </c:pt>
              </c:numCache>
            </c:numRef>
          </c:val>
        </c:ser>
        <c:ser>
          <c:idx val="3"/>
          <c:order val="3"/>
          <c:tx>
            <c:strRef>
              <c:f>Feuil1!$E$1</c:f>
              <c:strCache>
                <c:ptCount val="1"/>
                <c:pt idx="0">
                  <c:v>intakes</c:v>
                </c:pt>
              </c:strCache>
            </c:strRef>
          </c:tx>
          <c:spPr>
            <a:solidFill>
              <a:schemeClr val="accent3">
                <a:lumMod val="75000"/>
              </a:schemeClr>
            </a:solidFill>
          </c:spPr>
          <c:invertIfNegative val="0"/>
          <c:dLbls>
            <c:txPr>
              <a:bodyPr/>
              <a:lstStyle/>
              <a:p>
                <a:pPr>
                  <a:defRPr sz="800" b="1" cap="none" spc="50">
                    <a:ln w="13500">
                      <a:solidFill>
                        <a:schemeClr val="tx1">
                          <a:lumMod val="95000"/>
                          <a:lumOff val="5000"/>
                          <a:alpha val="6500"/>
                        </a:schemeClr>
                      </a:solidFill>
                      <a:prstDash val="solid"/>
                    </a:ln>
                    <a:solidFill>
                      <a:schemeClr val="tx1">
                        <a:alpha val="95000"/>
                      </a:schemeClr>
                    </a:solidFill>
                    <a:effectLst>
                      <a:innerShdw blurRad="50900" dist="38500" dir="13500000">
                        <a:srgbClr val="000000">
                          <a:alpha val="60000"/>
                        </a:srgbClr>
                      </a:innerShdw>
                    </a:effectLst>
                    <a:latin typeface="Tw Cen MT"/>
                    <a:cs typeface="Tw Cen MT"/>
                  </a:defRPr>
                </a:pPr>
                <a:endParaRPr lang="fr-FR"/>
              </a:p>
            </c:txPr>
            <c:showLegendKey val="0"/>
            <c:showVal val="1"/>
            <c:showCatName val="0"/>
            <c:showSerName val="0"/>
            <c:showPercent val="0"/>
            <c:showBubbleSize val="0"/>
            <c:showLeaderLines val="0"/>
          </c:dLbls>
          <c:cat>
            <c:strRef>
              <c:f>Feuil1!$A$2:$A$5</c:f>
              <c:strCache>
                <c:ptCount val="4"/>
                <c:pt idx="0">
                  <c:v>At initial diagnosis (all patients)</c:v>
                </c:pt>
                <c:pt idx="1">
                  <c:v>At initial diagnosis of malnourished patients</c:v>
                </c:pt>
                <c:pt idx="2">
                  <c:v>Follow-up of patients at risk of malnutrition</c:v>
                </c:pt>
                <c:pt idx="3">
                  <c:v>Follow-up of malnourished patients</c:v>
                </c:pt>
              </c:strCache>
            </c:strRef>
          </c:cat>
          <c:val>
            <c:numRef>
              <c:f>Feuil1!$E$2:$E$5</c:f>
              <c:numCache>
                <c:formatCode>0.0%</c:formatCode>
                <c:ptCount val="4"/>
                <c:pt idx="0">
                  <c:v>0.217</c:v>
                </c:pt>
                <c:pt idx="1">
                  <c:v>0.685</c:v>
                </c:pt>
                <c:pt idx="2">
                  <c:v>0.458</c:v>
                </c:pt>
                <c:pt idx="3">
                  <c:v>0.64</c:v>
                </c:pt>
              </c:numCache>
            </c:numRef>
          </c:val>
        </c:ser>
        <c:ser>
          <c:idx val="4"/>
          <c:order val="4"/>
          <c:tx>
            <c:strRef>
              <c:f>Feuil1!$F$1</c:f>
              <c:strCache>
                <c:ptCount val="1"/>
                <c:pt idx="0">
                  <c:v>albumin</c:v>
                </c:pt>
              </c:strCache>
            </c:strRef>
          </c:tx>
          <c:spPr>
            <a:solidFill>
              <a:schemeClr val="accent5">
                <a:lumMod val="75000"/>
              </a:schemeClr>
            </a:solidFill>
          </c:spPr>
          <c:invertIfNegative val="0"/>
          <c:dLbls>
            <c:txPr>
              <a:bodyPr/>
              <a:lstStyle/>
              <a:p>
                <a:pPr>
                  <a:defRPr sz="800" b="1" cap="none" spc="50">
                    <a:ln w="13500">
                      <a:solidFill>
                        <a:schemeClr val="accent1">
                          <a:shade val="2500"/>
                          <a:alpha val="6500"/>
                        </a:schemeClr>
                      </a:solidFill>
                      <a:prstDash val="solid"/>
                    </a:ln>
                    <a:solidFill>
                      <a:schemeClr val="tx1">
                        <a:alpha val="95000"/>
                      </a:schemeClr>
                    </a:solidFill>
                    <a:effectLst>
                      <a:innerShdw blurRad="50900" dist="38500" dir="13500000">
                        <a:srgbClr val="000000">
                          <a:alpha val="60000"/>
                        </a:srgbClr>
                      </a:innerShdw>
                    </a:effectLst>
                    <a:latin typeface="Tw Cen MT"/>
                    <a:cs typeface="Tw Cen MT"/>
                  </a:defRPr>
                </a:pPr>
                <a:endParaRPr lang="fr-FR"/>
              </a:p>
            </c:txPr>
            <c:showLegendKey val="0"/>
            <c:showVal val="1"/>
            <c:showCatName val="0"/>
            <c:showSerName val="0"/>
            <c:showPercent val="0"/>
            <c:showBubbleSize val="0"/>
            <c:showLeaderLines val="0"/>
          </c:dLbls>
          <c:cat>
            <c:strRef>
              <c:f>Feuil1!$A$2:$A$5</c:f>
              <c:strCache>
                <c:ptCount val="4"/>
                <c:pt idx="0">
                  <c:v>At initial diagnosis (all patients)</c:v>
                </c:pt>
                <c:pt idx="1">
                  <c:v>At initial diagnosis of malnourished patients</c:v>
                </c:pt>
                <c:pt idx="2">
                  <c:v>Follow-up of patients at risk of malnutrition</c:v>
                </c:pt>
                <c:pt idx="3">
                  <c:v>Follow-up of malnourished patients</c:v>
                </c:pt>
              </c:strCache>
            </c:strRef>
          </c:cat>
          <c:val>
            <c:numRef>
              <c:f>Feuil1!$F$2:$F$5</c:f>
              <c:numCache>
                <c:formatCode>0.0%</c:formatCode>
                <c:ptCount val="4"/>
                <c:pt idx="0">
                  <c:v>0.739</c:v>
                </c:pt>
                <c:pt idx="1">
                  <c:v>0.916</c:v>
                </c:pt>
                <c:pt idx="2">
                  <c:v>0.764</c:v>
                </c:pt>
                <c:pt idx="3">
                  <c:v>0.862</c:v>
                </c:pt>
              </c:numCache>
            </c:numRef>
          </c:val>
        </c:ser>
        <c:ser>
          <c:idx val="5"/>
          <c:order val="5"/>
          <c:tx>
            <c:strRef>
              <c:f>Feuil1!$G$1</c:f>
              <c:strCache>
                <c:ptCount val="1"/>
                <c:pt idx="0">
                  <c:v>screening tools</c:v>
                </c:pt>
              </c:strCache>
            </c:strRef>
          </c:tx>
          <c:spPr>
            <a:solidFill>
              <a:schemeClr val="accent4">
                <a:lumMod val="75000"/>
              </a:schemeClr>
            </a:solidFill>
          </c:spPr>
          <c:invertIfNegative val="0"/>
          <c:dLbls>
            <c:txPr>
              <a:bodyPr/>
              <a:lstStyle/>
              <a:p>
                <a:pPr>
                  <a:defRPr sz="900" b="1">
                    <a:latin typeface="Tw Cen MT"/>
                    <a:cs typeface="Tw Cen MT"/>
                  </a:defRPr>
                </a:pPr>
                <a:endParaRPr lang="fr-FR"/>
              </a:p>
            </c:txPr>
            <c:dLblPos val="outEnd"/>
            <c:showLegendKey val="0"/>
            <c:showVal val="1"/>
            <c:showCatName val="0"/>
            <c:showSerName val="0"/>
            <c:showPercent val="0"/>
            <c:showBubbleSize val="0"/>
            <c:showLeaderLines val="0"/>
          </c:dLbls>
          <c:cat>
            <c:strRef>
              <c:f>Feuil1!$A$2:$A$5</c:f>
              <c:strCache>
                <c:ptCount val="4"/>
                <c:pt idx="0">
                  <c:v>At initial diagnosis (all patients)</c:v>
                </c:pt>
                <c:pt idx="1">
                  <c:v>At initial diagnosis of malnourished patients</c:v>
                </c:pt>
                <c:pt idx="2">
                  <c:v>Follow-up of patients at risk of malnutrition</c:v>
                </c:pt>
                <c:pt idx="3">
                  <c:v>Follow-up of malnourished patients</c:v>
                </c:pt>
              </c:strCache>
            </c:strRef>
          </c:cat>
          <c:val>
            <c:numRef>
              <c:f>Feuil1!$G$2:$G$5</c:f>
              <c:numCache>
                <c:formatCode>0.0%</c:formatCode>
                <c:ptCount val="4"/>
                <c:pt idx="0">
                  <c:v>0.059</c:v>
                </c:pt>
                <c:pt idx="1">
                  <c:v>0.222</c:v>
                </c:pt>
                <c:pt idx="2">
                  <c:v>0.118</c:v>
                </c:pt>
                <c:pt idx="3">
                  <c:v>0.207</c:v>
                </c:pt>
              </c:numCache>
            </c:numRef>
          </c:val>
        </c:ser>
        <c:ser>
          <c:idx val="6"/>
          <c:order val="6"/>
          <c:tx>
            <c:strRef>
              <c:f>Feuil1!$H$1</c:f>
              <c:strCache>
                <c:ptCount val="1"/>
                <c:pt idx="0">
                  <c:v>none</c:v>
                </c:pt>
              </c:strCache>
            </c:strRef>
          </c:tx>
          <c:spPr>
            <a:solidFill>
              <a:schemeClr val="tx1"/>
            </a:solidFill>
          </c:spPr>
          <c:invertIfNegative val="0"/>
          <c:cat>
            <c:strRef>
              <c:f>Feuil1!$A$2:$A$5</c:f>
              <c:strCache>
                <c:ptCount val="4"/>
                <c:pt idx="0">
                  <c:v>At initial diagnosis (all patients)</c:v>
                </c:pt>
                <c:pt idx="1">
                  <c:v>At initial diagnosis of malnourished patients</c:v>
                </c:pt>
                <c:pt idx="2">
                  <c:v>Follow-up of patients at risk of malnutrition</c:v>
                </c:pt>
                <c:pt idx="3">
                  <c:v>Follow-up of malnourished patients</c:v>
                </c:pt>
              </c:strCache>
            </c:strRef>
          </c:cat>
          <c:val>
            <c:numRef>
              <c:f>Feuil1!$H$2:$H$5</c:f>
              <c:numCache>
                <c:formatCode>0.0%</c:formatCode>
                <c:ptCount val="4"/>
                <c:pt idx="0">
                  <c:v>0.005</c:v>
                </c:pt>
                <c:pt idx="1">
                  <c:v>0.0</c:v>
                </c:pt>
                <c:pt idx="2">
                  <c:v>0.005</c:v>
                </c:pt>
                <c:pt idx="3">
                  <c:v>0.0</c:v>
                </c:pt>
              </c:numCache>
            </c:numRef>
          </c:val>
        </c:ser>
        <c:dLbls>
          <c:showLegendKey val="0"/>
          <c:showVal val="0"/>
          <c:showCatName val="0"/>
          <c:showSerName val="0"/>
          <c:showPercent val="0"/>
          <c:showBubbleSize val="0"/>
        </c:dLbls>
        <c:gapWidth val="150"/>
        <c:axId val="2032555208"/>
        <c:axId val="2032558120"/>
      </c:barChart>
      <c:catAx>
        <c:axId val="2032555208"/>
        <c:scaling>
          <c:orientation val="minMax"/>
        </c:scaling>
        <c:delete val="0"/>
        <c:axPos val="b"/>
        <c:majorTickMark val="out"/>
        <c:minorTickMark val="none"/>
        <c:tickLblPos val="nextTo"/>
        <c:txPr>
          <a:bodyPr/>
          <a:lstStyle/>
          <a:p>
            <a:pPr>
              <a:defRPr sz="900">
                <a:latin typeface="Tw Cen MT"/>
                <a:cs typeface="Tw Cen MT"/>
              </a:defRPr>
            </a:pPr>
            <a:endParaRPr lang="fr-FR"/>
          </a:p>
        </c:txPr>
        <c:crossAx val="2032558120"/>
        <c:crosses val="autoZero"/>
        <c:auto val="1"/>
        <c:lblAlgn val="ctr"/>
        <c:lblOffset val="100"/>
        <c:noMultiLvlLbl val="0"/>
      </c:catAx>
      <c:valAx>
        <c:axId val="2032558120"/>
        <c:scaling>
          <c:orientation val="minMax"/>
        </c:scaling>
        <c:delete val="1"/>
        <c:axPos val="l"/>
        <c:majorGridlines/>
        <c:numFmt formatCode="0.0%" sourceLinked="1"/>
        <c:majorTickMark val="out"/>
        <c:minorTickMark val="none"/>
        <c:tickLblPos val="nextTo"/>
        <c:crossAx val="2032555208"/>
        <c:crosses val="autoZero"/>
        <c:crossBetween val="between"/>
      </c:valAx>
    </c:plotArea>
    <c:legend>
      <c:legendPos val="b"/>
      <c:legendEntry>
        <c:idx val="0"/>
        <c:delete val="1"/>
      </c:legendEntry>
      <c:layout>
        <c:manualLayout>
          <c:xMode val="edge"/>
          <c:yMode val="edge"/>
          <c:x val="0.129061497609925"/>
          <c:y val="0.841192075070884"/>
          <c:w val="0.829417031933929"/>
          <c:h val="0.149889265161116"/>
        </c:manualLayout>
      </c:layout>
      <c:overlay val="0"/>
      <c:txPr>
        <a:bodyPr/>
        <a:lstStyle/>
        <a:p>
          <a:pPr>
            <a:defRPr sz="900">
              <a:latin typeface="Tw Cen MT"/>
              <a:cs typeface="Tw Cen MT"/>
            </a:defRPr>
          </a:pPr>
          <a:endParaRPr lang="fr-FR"/>
        </a:p>
      </c:txPr>
    </c:legend>
    <c:plotVisOnly val="1"/>
    <c:dispBlanksAs val="gap"/>
    <c:showDLblsOverMax val="0"/>
  </c:chart>
  <c:spPr>
    <a:solidFill>
      <a:schemeClr val="lt1"/>
    </a:solidFill>
    <a:ln w="25400" cap="flat" cmpd="sng" algn="ctr">
      <a:noFill/>
      <a:prstDash val="solid"/>
    </a:ln>
    <a:effectLst/>
  </c:spPr>
  <c:txPr>
    <a:bodyPr/>
    <a:lstStyle/>
    <a:p>
      <a:pPr>
        <a:defRPr>
          <a:solidFill>
            <a:schemeClr val="dk1"/>
          </a:solidFill>
          <a:latin typeface="+mn-lt"/>
          <a:ea typeface="+mn-ea"/>
          <a:cs typeface="+mn-cs"/>
        </a:defRPr>
      </a:pPr>
      <a:endParaRPr lang="fr-F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F4918-BC87-364F-B76B-4F2CD8D41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597</Words>
  <Characters>3287</Characters>
  <Application>Microsoft Macintosh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popo Pauline</cp:lastModifiedBy>
  <cp:revision>2</cp:revision>
  <dcterms:created xsi:type="dcterms:W3CDTF">2017-08-11T18:25:00Z</dcterms:created>
  <dcterms:modified xsi:type="dcterms:W3CDTF">2017-08-11T18:25:00Z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ZOTERO_PREF_1">
    <vt:lpwstr>&lt;data data-version="3" zotero-version="4.0.29.15"&gt;&lt;session id="ozkCHUrz"/&gt;&lt;style id="http://www.zotero.org/styles/vancouver" locale="en-US" hasBibliography="1" bibliographyStyleHasBeenSet="0"/&gt;&lt;prefs&gt;&lt;pref name="fieldType" value="Field"/&gt;&lt;pref name="store</vt:lpwstr>
  </property>
  <property fmtid="{D5CDD505-2E9C-101B-9397-08002B2CF9AE}" pid="6" name="ZOTERO_PREF_2">
    <vt:lpwstr>References" value="true"/&gt;&lt;pref name="automaticJournalAbbreviations" value="true"/&gt;&lt;pref name="noteType" value=""/&gt;&lt;/prefs&gt;&lt;/data&gt;</vt:lpwstr>
  </property>
</Properties>
</file>