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9DA" w:rsidRPr="003969DA" w:rsidRDefault="003969DA" w:rsidP="003969DA">
      <w:pPr>
        <w:ind w:right="1411"/>
        <w:rPr>
          <w:rFonts w:asciiTheme="majorBidi" w:eastAsiaTheme="minorHAnsi" w:hAnsiTheme="majorBidi" w:cstheme="majorBidi"/>
          <w:b/>
          <w:bCs/>
          <w:sz w:val="36"/>
          <w:szCs w:val="36"/>
        </w:rPr>
      </w:pPr>
      <w:r w:rsidRPr="003969DA">
        <w:rPr>
          <w:rFonts w:asciiTheme="majorBidi" w:hAnsiTheme="majorBidi" w:cstheme="majorBidi"/>
          <w:b/>
          <w:bCs/>
          <w:sz w:val="36"/>
          <w:szCs w:val="36"/>
        </w:rPr>
        <w:t xml:space="preserve">The Effect of </w:t>
      </w:r>
      <w:proofErr w:type="spellStart"/>
      <w:r w:rsidRPr="003969DA">
        <w:rPr>
          <w:rFonts w:asciiTheme="majorBidi" w:hAnsiTheme="majorBidi" w:cstheme="majorBidi"/>
          <w:b/>
          <w:bCs/>
          <w:i/>
          <w:iCs/>
          <w:sz w:val="36"/>
          <w:szCs w:val="36"/>
        </w:rPr>
        <w:t>Achillea</w:t>
      </w:r>
      <w:proofErr w:type="spellEnd"/>
      <w:r w:rsidRPr="003969DA">
        <w:rPr>
          <w:rFonts w:asciiTheme="majorBidi" w:hAnsiTheme="majorBidi" w:cstheme="majorBidi"/>
          <w:b/>
          <w:bCs/>
          <w:sz w:val="36"/>
          <w:szCs w:val="36"/>
        </w:rPr>
        <w:t xml:space="preserve"> </w:t>
      </w:r>
      <w:proofErr w:type="spellStart"/>
      <w:r w:rsidRPr="003969DA">
        <w:rPr>
          <w:rFonts w:asciiTheme="majorBidi" w:hAnsiTheme="majorBidi" w:cstheme="majorBidi"/>
          <w:b/>
          <w:bCs/>
          <w:i/>
          <w:iCs/>
          <w:sz w:val="36"/>
          <w:szCs w:val="36"/>
        </w:rPr>
        <w:t>wilhelmsii</w:t>
      </w:r>
      <w:proofErr w:type="spellEnd"/>
      <w:r w:rsidRPr="003969DA">
        <w:rPr>
          <w:rFonts w:asciiTheme="majorBidi" w:hAnsiTheme="majorBidi" w:cstheme="majorBidi"/>
          <w:b/>
          <w:bCs/>
          <w:sz w:val="36"/>
          <w:szCs w:val="36"/>
        </w:rPr>
        <w:t xml:space="preserve"> extract on expression of the human Telomerase Reverse Transcriptase (</w:t>
      </w:r>
      <w:proofErr w:type="spellStart"/>
      <w:r w:rsidRPr="003969DA">
        <w:rPr>
          <w:rFonts w:asciiTheme="majorBidi" w:hAnsiTheme="majorBidi" w:cstheme="majorBidi"/>
          <w:b/>
          <w:bCs/>
          <w:sz w:val="36"/>
          <w:szCs w:val="36"/>
        </w:rPr>
        <w:t>hTERT</w:t>
      </w:r>
      <w:proofErr w:type="spellEnd"/>
      <w:r w:rsidRPr="003969DA">
        <w:rPr>
          <w:rFonts w:asciiTheme="majorBidi" w:hAnsiTheme="majorBidi" w:cstheme="majorBidi"/>
          <w:b/>
          <w:bCs/>
          <w:sz w:val="36"/>
          <w:szCs w:val="36"/>
        </w:rPr>
        <w:t>) mRNA in prostate cancer PC3 cell line</w:t>
      </w:r>
    </w:p>
    <w:p w:rsidR="005973B9" w:rsidRDefault="00504A04" w:rsidP="00504A04">
      <w:pPr>
        <w:pStyle w:val="BodyText"/>
        <w:spacing w:before="73" w:line="198" w:lineRule="exact"/>
        <w:ind w:left="100" w:right="5987"/>
        <w:rPr>
          <w:rFonts w:ascii="Arial"/>
        </w:rPr>
      </w:pPr>
      <w:proofErr w:type="spellStart"/>
      <w:r>
        <w:rPr>
          <w:rFonts w:ascii="Arial"/>
        </w:rPr>
        <w:t>Hosniye</w:t>
      </w:r>
      <w:proofErr w:type="spellEnd"/>
      <w:r>
        <w:rPr>
          <w:rFonts w:ascii="Arial"/>
        </w:rPr>
        <w:t xml:space="preserve"> </w:t>
      </w:r>
      <w:proofErr w:type="spellStart"/>
      <w:r>
        <w:rPr>
          <w:rFonts w:ascii="Arial"/>
        </w:rPr>
        <w:t>Amini</w:t>
      </w:r>
      <w:proofErr w:type="spellEnd"/>
      <w:r w:rsidR="005973B9">
        <w:rPr>
          <w:rFonts w:ascii="Arial"/>
        </w:rPr>
        <w:t xml:space="preserve">, </w:t>
      </w:r>
      <w:r>
        <w:rPr>
          <w:rFonts w:ascii="Arial"/>
        </w:rPr>
        <w:t>Master</w:t>
      </w:r>
      <w:r w:rsidR="005973B9">
        <w:rPr>
          <w:rFonts w:ascii="Arial"/>
        </w:rPr>
        <w:t xml:space="preserve">, </w:t>
      </w:r>
      <w:r>
        <w:rPr>
          <w:rFonts w:ascii="Arial"/>
        </w:rPr>
        <w:t>Tehran University</w:t>
      </w:r>
      <w:r w:rsidR="005973B9">
        <w:rPr>
          <w:rFonts w:ascii="Arial"/>
        </w:rPr>
        <w:t xml:space="preserve">, </w:t>
      </w:r>
      <w:r>
        <w:rPr>
          <w:rFonts w:ascii="Arial"/>
        </w:rPr>
        <w:t>Iran</w:t>
      </w:r>
      <w:r w:rsidR="005973B9">
        <w:rPr>
          <w:rFonts w:ascii="Arial"/>
        </w:rPr>
        <w:t xml:space="preserve">, </w:t>
      </w:r>
    </w:p>
    <w:p w:rsidR="00504A04" w:rsidRDefault="00504A04" w:rsidP="00504A04">
      <w:pPr>
        <w:pStyle w:val="BodyText"/>
        <w:spacing w:before="73" w:line="198" w:lineRule="exact"/>
        <w:ind w:left="100" w:right="5987"/>
        <w:rPr>
          <w:rFonts w:ascii="Arial"/>
        </w:rPr>
      </w:pPr>
      <w:proofErr w:type="spellStart"/>
      <w:r>
        <w:rPr>
          <w:rFonts w:ascii="Arial"/>
        </w:rPr>
        <w:t>Mojtaba</w:t>
      </w:r>
      <w:proofErr w:type="spellEnd"/>
      <w:r>
        <w:rPr>
          <w:rFonts w:ascii="Arial"/>
        </w:rPr>
        <w:t xml:space="preserve"> </w:t>
      </w:r>
      <w:proofErr w:type="spellStart"/>
      <w:proofErr w:type="gramStart"/>
      <w:r>
        <w:rPr>
          <w:rFonts w:ascii="Arial"/>
        </w:rPr>
        <w:t>Ashtiani</w:t>
      </w:r>
      <w:r>
        <w:rPr>
          <w:rFonts w:ascii="Arial"/>
        </w:rPr>
        <w:t>,</w:t>
      </w:r>
      <w:r>
        <w:rPr>
          <w:rFonts w:ascii="Arial"/>
        </w:rPr>
        <w:t>Master</w:t>
      </w:r>
      <w:proofErr w:type="gramEnd"/>
      <w:r>
        <w:rPr>
          <w:rFonts w:ascii="Arial"/>
        </w:rPr>
        <w:t>,</w:t>
      </w:r>
      <w:r>
        <w:rPr>
          <w:rFonts w:ascii="Arial"/>
        </w:rPr>
        <w:t>Tehran</w:t>
      </w:r>
      <w:proofErr w:type="spellEnd"/>
      <w:r>
        <w:rPr>
          <w:rFonts w:ascii="Arial"/>
        </w:rPr>
        <w:t xml:space="preserve"> </w:t>
      </w:r>
      <w:proofErr w:type="spellStart"/>
      <w:r>
        <w:rPr>
          <w:rFonts w:ascii="Arial"/>
        </w:rPr>
        <w:t>University</w:t>
      </w:r>
      <w:r>
        <w:rPr>
          <w:rFonts w:ascii="Arial"/>
        </w:rPr>
        <w:t>,</w:t>
      </w:r>
      <w:r>
        <w:rPr>
          <w:rFonts w:ascii="Arial"/>
        </w:rPr>
        <w:t>iran</w:t>
      </w:r>
      <w:proofErr w:type="spellEnd"/>
    </w:p>
    <w:p w:rsidR="00504A04" w:rsidRDefault="00504A04" w:rsidP="00504A04">
      <w:pPr>
        <w:pStyle w:val="BodyText"/>
        <w:spacing w:before="73" w:line="198" w:lineRule="exact"/>
        <w:ind w:left="100" w:right="5987"/>
        <w:rPr>
          <w:rFonts w:ascii="Arial"/>
        </w:rPr>
      </w:pPr>
      <w:proofErr w:type="spellStart"/>
      <w:r>
        <w:rPr>
          <w:rFonts w:ascii="Arial"/>
        </w:rPr>
        <w:t>Fariba</w:t>
      </w:r>
      <w:proofErr w:type="spellEnd"/>
      <w:r>
        <w:rPr>
          <w:rFonts w:ascii="Arial"/>
        </w:rPr>
        <w:t xml:space="preserve"> </w:t>
      </w:r>
      <w:proofErr w:type="spellStart"/>
      <w:proofErr w:type="gramStart"/>
      <w:r>
        <w:rPr>
          <w:rFonts w:ascii="Arial"/>
        </w:rPr>
        <w:t>Nabatchian</w:t>
      </w:r>
      <w:r>
        <w:rPr>
          <w:rFonts w:ascii="Arial"/>
        </w:rPr>
        <w:t>,</w:t>
      </w:r>
      <w:r>
        <w:rPr>
          <w:rFonts w:ascii="Arial"/>
        </w:rPr>
        <w:t>Ph</w:t>
      </w:r>
      <w:proofErr w:type="gramEnd"/>
      <w:r>
        <w:rPr>
          <w:rFonts w:ascii="Arial"/>
        </w:rPr>
        <w:t>.D</w:t>
      </w:r>
      <w:r>
        <w:rPr>
          <w:rFonts w:ascii="Arial"/>
        </w:rPr>
        <w:t>,</w:t>
      </w:r>
      <w:r>
        <w:rPr>
          <w:rFonts w:ascii="Arial"/>
        </w:rPr>
        <w:t>Tehran</w:t>
      </w:r>
      <w:proofErr w:type="spellEnd"/>
      <w:r>
        <w:rPr>
          <w:rFonts w:ascii="Arial"/>
        </w:rPr>
        <w:t xml:space="preserve"> University</w:t>
      </w:r>
    </w:p>
    <w:p w:rsidR="00504A04" w:rsidRDefault="00504A04" w:rsidP="00504A04">
      <w:pPr>
        <w:pStyle w:val="BodyText"/>
        <w:spacing w:before="73" w:line="198" w:lineRule="exact"/>
        <w:ind w:left="100" w:right="5987"/>
        <w:rPr>
          <w:rFonts w:ascii="Arial"/>
        </w:rPr>
      </w:pPr>
      <w:proofErr w:type="spellStart"/>
      <w:r>
        <w:rPr>
          <w:rFonts w:ascii="Arial"/>
        </w:rPr>
        <w:t>Saeideh</w:t>
      </w:r>
      <w:proofErr w:type="spellEnd"/>
      <w:r>
        <w:rPr>
          <w:rFonts w:ascii="Arial"/>
        </w:rPr>
        <w:t xml:space="preserve"> </w:t>
      </w:r>
      <w:proofErr w:type="spellStart"/>
      <w:proofErr w:type="gramStart"/>
      <w:r>
        <w:rPr>
          <w:rFonts w:ascii="Arial"/>
        </w:rPr>
        <w:t>Salimi</w:t>
      </w:r>
      <w:r>
        <w:rPr>
          <w:rFonts w:ascii="Arial"/>
        </w:rPr>
        <w:t>,</w:t>
      </w:r>
      <w:r>
        <w:rPr>
          <w:rFonts w:ascii="Arial"/>
        </w:rPr>
        <w:t>Ph</w:t>
      </w:r>
      <w:proofErr w:type="gramEnd"/>
      <w:r>
        <w:rPr>
          <w:rFonts w:ascii="Arial"/>
        </w:rPr>
        <w:t>.D</w:t>
      </w:r>
      <w:r>
        <w:rPr>
          <w:rFonts w:ascii="Arial"/>
        </w:rPr>
        <w:t>,</w:t>
      </w:r>
      <w:r>
        <w:rPr>
          <w:rFonts w:ascii="Arial"/>
        </w:rPr>
        <w:t>Zahedan</w:t>
      </w:r>
      <w:proofErr w:type="spellEnd"/>
      <w:r>
        <w:rPr>
          <w:rFonts w:ascii="Arial"/>
        </w:rPr>
        <w:t xml:space="preserve">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04A04">
      <w:pPr>
        <w:pStyle w:val="Heading3"/>
        <w:spacing w:before="147"/>
        <w:jc w:val="both"/>
      </w:pPr>
      <w:r>
        <w:rPr>
          <w:color w:val="BF5A14"/>
        </w:rPr>
        <w:lastRenderedPageBreak/>
        <w:t>Abstract</w:t>
      </w:r>
      <w:r w:rsidR="00404E5B">
        <w:rPr>
          <w:color w:val="BF5A14"/>
        </w:rPr>
        <w:t xml:space="preserve"> </w:t>
      </w:r>
    </w:p>
    <w:p w:rsidR="00504A04" w:rsidRDefault="00504A04" w:rsidP="00504A04">
      <w:pPr>
        <w:autoSpaceDE w:val="0"/>
        <w:autoSpaceDN w:val="0"/>
        <w:adjustRightInd w:val="0"/>
        <w:ind w:right="1411"/>
        <w:rPr>
          <w:rFonts w:asciiTheme="majorBidi" w:eastAsiaTheme="minorHAnsi" w:hAnsiTheme="majorBidi" w:cstheme="majorBidi"/>
          <w:sz w:val="18"/>
          <w:szCs w:val="18"/>
        </w:rPr>
      </w:pPr>
      <w:r>
        <w:rPr>
          <w:rFonts w:asciiTheme="majorBidi" w:hAnsiTheme="majorBidi" w:cstheme="majorBidi"/>
          <w:sz w:val="18"/>
          <w:szCs w:val="18"/>
        </w:rPr>
        <w:t>Purpose: Evidence showed that Human telomerase reverse transcriptase (</w:t>
      </w:r>
      <w:proofErr w:type="spellStart"/>
      <w:r>
        <w:rPr>
          <w:rFonts w:asciiTheme="majorBidi" w:hAnsiTheme="majorBidi" w:cstheme="majorBidi"/>
          <w:sz w:val="18"/>
          <w:szCs w:val="18"/>
        </w:rPr>
        <w:t>hTERT</w:t>
      </w:r>
      <w:proofErr w:type="spellEnd"/>
      <w:r>
        <w:rPr>
          <w:rFonts w:asciiTheme="majorBidi" w:hAnsiTheme="majorBidi" w:cstheme="majorBidi"/>
          <w:sz w:val="18"/>
          <w:szCs w:val="18"/>
        </w:rPr>
        <w:t xml:space="preserve">) was overexpressed in prostate cancer. </w:t>
      </w:r>
      <w:proofErr w:type="spellStart"/>
      <w:r>
        <w:rPr>
          <w:rFonts w:asciiTheme="majorBidi" w:hAnsiTheme="majorBidi" w:cstheme="majorBidi"/>
          <w:sz w:val="18"/>
          <w:szCs w:val="18"/>
        </w:rPr>
        <w:t>Achillea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wilhelmsii</w:t>
      </w:r>
      <w:proofErr w:type="spellEnd"/>
      <w:r>
        <w:rPr>
          <w:rFonts w:asciiTheme="majorBidi" w:hAnsiTheme="majorBidi" w:cstheme="majorBidi"/>
          <w:sz w:val="18"/>
          <w:szCs w:val="18"/>
        </w:rPr>
        <w:t xml:space="preserve"> (AW) is a plant that has been traditionally used for its medicinal properties. The aim of current study is evaluation the effects of </w:t>
      </w:r>
      <w:r>
        <w:rPr>
          <w:rFonts w:asciiTheme="majorBidi" w:hAnsiTheme="majorBidi" w:cstheme="majorBidi"/>
          <w:i/>
          <w:iCs/>
          <w:sz w:val="18"/>
          <w:szCs w:val="18"/>
        </w:rPr>
        <w:t xml:space="preserve">AW </w:t>
      </w:r>
      <w:r>
        <w:rPr>
          <w:rFonts w:asciiTheme="majorBidi" w:hAnsiTheme="majorBidi" w:cstheme="majorBidi"/>
          <w:sz w:val="18"/>
          <w:szCs w:val="18"/>
        </w:rPr>
        <w:t>extract on a prostate cancer cell line</w:t>
      </w:r>
    </w:p>
    <w:p w:rsidR="00504A04" w:rsidRDefault="00504A04" w:rsidP="00504A04">
      <w:pPr>
        <w:autoSpaceDE w:val="0"/>
        <w:autoSpaceDN w:val="0"/>
        <w:adjustRightInd w:val="0"/>
        <w:ind w:right="1411"/>
        <w:rPr>
          <w:rFonts w:asciiTheme="majorBidi" w:hAnsiTheme="majorBidi" w:cstheme="majorBidi"/>
          <w:sz w:val="18"/>
          <w:szCs w:val="18"/>
        </w:rPr>
      </w:pPr>
      <w:r>
        <w:rPr>
          <w:rFonts w:asciiTheme="majorBidi" w:hAnsiTheme="majorBidi" w:cstheme="majorBidi"/>
          <w:sz w:val="18"/>
          <w:szCs w:val="18"/>
        </w:rPr>
        <w:t xml:space="preserve">Methods: The cytotoxic activity of the </w:t>
      </w:r>
      <w:proofErr w:type="spellStart"/>
      <w:r>
        <w:rPr>
          <w:rFonts w:asciiTheme="majorBidi" w:hAnsiTheme="majorBidi" w:cstheme="majorBidi"/>
          <w:sz w:val="18"/>
          <w:szCs w:val="18"/>
        </w:rPr>
        <w:t>hydroalchoholic</w:t>
      </w:r>
      <w:proofErr w:type="spellEnd"/>
      <w:r>
        <w:rPr>
          <w:rFonts w:asciiTheme="majorBidi" w:hAnsiTheme="majorBidi" w:cstheme="majorBidi"/>
          <w:sz w:val="18"/>
          <w:szCs w:val="18"/>
        </w:rPr>
        <w:t xml:space="preserve"> extract of AW was studied on prostate cancer PC3 cell line using MTT assay. Flow cytometry was used to evaluate the effects of the extract on the apoptosis. The expression of </w:t>
      </w:r>
      <w:proofErr w:type="spellStart"/>
      <w:r>
        <w:rPr>
          <w:rFonts w:asciiTheme="majorBidi" w:hAnsiTheme="majorBidi" w:cstheme="majorBidi"/>
          <w:sz w:val="18"/>
          <w:szCs w:val="18"/>
        </w:rPr>
        <w:t>hTERT</w:t>
      </w:r>
      <w:proofErr w:type="spellEnd"/>
      <w:r>
        <w:rPr>
          <w:rFonts w:asciiTheme="majorBidi" w:hAnsiTheme="majorBidi" w:cstheme="majorBidi"/>
          <w:sz w:val="18"/>
          <w:szCs w:val="18"/>
        </w:rPr>
        <w:t xml:space="preserve"> mRNA was analyzed by Real-Time PCR method. ELISA method was used to measure the levels of telomerase enzyme.</w:t>
      </w:r>
    </w:p>
    <w:p w:rsidR="00504A04" w:rsidRDefault="00504A04" w:rsidP="00504A04">
      <w:pPr>
        <w:autoSpaceDE w:val="0"/>
        <w:autoSpaceDN w:val="0"/>
        <w:adjustRightInd w:val="0"/>
        <w:ind w:right="1411"/>
        <w:rPr>
          <w:rFonts w:asciiTheme="majorBidi" w:hAnsiTheme="majorBidi" w:cstheme="majorBidi"/>
          <w:sz w:val="18"/>
          <w:szCs w:val="18"/>
        </w:rPr>
      </w:pPr>
      <w:r>
        <w:rPr>
          <w:rFonts w:asciiTheme="majorBidi" w:hAnsiTheme="majorBidi" w:cstheme="majorBidi"/>
          <w:sz w:val="18"/>
          <w:szCs w:val="18"/>
        </w:rPr>
        <w:t xml:space="preserve">Results: The </w:t>
      </w:r>
      <w:proofErr w:type="spellStart"/>
      <w:r>
        <w:rPr>
          <w:rFonts w:asciiTheme="majorBidi" w:hAnsiTheme="majorBidi" w:cstheme="majorBidi"/>
          <w:sz w:val="18"/>
          <w:szCs w:val="18"/>
        </w:rPr>
        <w:t>hydroalcoholic</w:t>
      </w:r>
      <w:proofErr w:type="spellEnd"/>
      <w:r>
        <w:rPr>
          <w:rFonts w:asciiTheme="majorBidi" w:hAnsiTheme="majorBidi" w:cstheme="majorBidi"/>
          <w:i/>
          <w:iCs/>
          <w:sz w:val="18"/>
          <w:szCs w:val="18"/>
        </w:rPr>
        <w:t xml:space="preserve"> AW</w:t>
      </w:r>
      <w:r>
        <w:rPr>
          <w:rFonts w:asciiTheme="majorBidi" w:hAnsiTheme="majorBidi" w:cstheme="majorBidi"/>
          <w:sz w:val="18"/>
          <w:szCs w:val="18"/>
        </w:rPr>
        <w:t xml:space="preserve"> extract showed the appropriate</w:t>
      </w:r>
      <w:r>
        <w:rPr>
          <w:rFonts w:asciiTheme="majorBidi" w:hAnsiTheme="majorBidi" w:cstheme="majorBidi"/>
          <w:color w:val="FF0000"/>
          <w:sz w:val="18"/>
          <w:szCs w:val="18"/>
        </w:rPr>
        <w:t xml:space="preserve"> </w:t>
      </w:r>
      <w:r>
        <w:rPr>
          <w:rFonts w:asciiTheme="majorBidi" w:hAnsiTheme="majorBidi" w:cstheme="majorBidi"/>
          <w:sz w:val="18"/>
          <w:szCs w:val="18"/>
        </w:rPr>
        <w:t xml:space="preserve">inhibitory effect in 150μg/ml concentration (IC50) on PC3 cell line after 48h treatment. Treatment of the PC3 cells with </w:t>
      </w:r>
      <w:r>
        <w:rPr>
          <w:rFonts w:asciiTheme="majorBidi" w:hAnsiTheme="majorBidi" w:cstheme="majorBidi"/>
          <w:i/>
          <w:iCs/>
          <w:sz w:val="18"/>
          <w:szCs w:val="18"/>
        </w:rPr>
        <w:t>AW</w:t>
      </w:r>
      <w:r>
        <w:rPr>
          <w:rFonts w:asciiTheme="majorBidi" w:hAnsiTheme="majorBidi" w:cstheme="majorBidi"/>
          <w:sz w:val="18"/>
          <w:szCs w:val="18"/>
        </w:rPr>
        <w:t xml:space="preserve"> resulted in a significant increase in early and late apoptotic cells in a dose-dependent manner. Moreover, the early apoptotic cells were significantly higher than late apoptotic cells. The h-TERT mRNA expression was decreased after 24h treatment of </w:t>
      </w:r>
      <w:r>
        <w:rPr>
          <w:rFonts w:asciiTheme="majorBidi" w:hAnsiTheme="majorBidi" w:cstheme="majorBidi"/>
          <w:i/>
          <w:iCs/>
          <w:sz w:val="18"/>
          <w:szCs w:val="18"/>
        </w:rPr>
        <w:t>AW</w:t>
      </w:r>
      <w:r>
        <w:rPr>
          <w:rFonts w:asciiTheme="majorBidi" w:hAnsiTheme="majorBidi" w:cstheme="majorBidi"/>
          <w:sz w:val="18"/>
          <w:szCs w:val="18"/>
        </w:rPr>
        <w:t xml:space="preserve"> extract, though it was not different between 2, 4, 8 and 12 h treatments or 24, 48 and 72h treatments. Also, the h-TERT concentration was significantly decreased after 24h treatment of </w:t>
      </w:r>
      <w:r>
        <w:rPr>
          <w:rFonts w:asciiTheme="majorBidi" w:hAnsiTheme="majorBidi" w:cstheme="majorBidi"/>
          <w:i/>
          <w:iCs/>
          <w:sz w:val="18"/>
          <w:szCs w:val="18"/>
        </w:rPr>
        <w:t>AW</w:t>
      </w:r>
      <w:r>
        <w:rPr>
          <w:rFonts w:asciiTheme="majorBidi" w:hAnsiTheme="majorBidi" w:cstheme="majorBidi"/>
          <w:sz w:val="18"/>
          <w:szCs w:val="18"/>
        </w:rPr>
        <w:t xml:space="preserve"> extract.</w:t>
      </w:r>
    </w:p>
    <w:p w:rsidR="00504A04" w:rsidRDefault="00504A04" w:rsidP="00504A04">
      <w:pPr>
        <w:ind w:right="1411"/>
        <w:rPr>
          <w:rFonts w:asciiTheme="majorBidi" w:hAnsiTheme="majorBidi" w:cstheme="majorBidi"/>
          <w:sz w:val="18"/>
          <w:szCs w:val="18"/>
        </w:rPr>
      </w:pPr>
      <w:r>
        <w:rPr>
          <w:rFonts w:asciiTheme="majorBidi" w:hAnsiTheme="majorBidi" w:cstheme="majorBidi"/>
          <w:sz w:val="18"/>
          <w:szCs w:val="18"/>
        </w:rPr>
        <w:t xml:space="preserve">Conclusions: The </w:t>
      </w:r>
      <w:proofErr w:type="spellStart"/>
      <w:r>
        <w:rPr>
          <w:rFonts w:asciiTheme="majorBidi" w:hAnsiTheme="majorBidi" w:cstheme="majorBidi"/>
          <w:sz w:val="18"/>
          <w:szCs w:val="18"/>
        </w:rPr>
        <w:t>hydroalcoholic</w:t>
      </w:r>
      <w:proofErr w:type="spellEnd"/>
      <w:r>
        <w:rPr>
          <w:rFonts w:asciiTheme="majorBidi" w:hAnsiTheme="majorBidi" w:cstheme="majorBidi"/>
          <w:sz w:val="18"/>
          <w:szCs w:val="18"/>
        </w:rPr>
        <w:t xml:space="preserve"> extract of </w:t>
      </w:r>
      <w:r>
        <w:rPr>
          <w:rFonts w:asciiTheme="majorBidi" w:hAnsiTheme="majorBidi" w:cstheme="majorBidi"/>
          <w:i/>
          <w:iCs/>
          <w:sz w:val="18"/>
          <w:szCs w:val="18"/>
        </w:rPr>
        <w:t>AW</w:t>
      </w:r>
      <w:r>
        <w:rPr>
          <w:rFonts w:asciiTheme="majorBidi" w:hAnsiTheme="majorBidi" w:cstheme="majorBidi"/>
          <w:sz w:val="18"/>
          <w:szCs w:val="18"/>
        </w:rPr>
        <w:t xml:space="preserve"> induced potent </w:t>
      </w:r>
      <w:proofErr w:type="spellStart"/>
      <w:r>
        <w:rPr>
          <w:rFonts w:asciiTheme="majorBidi" w:hAnsiTheme="majorBidi" w:cstheme="majorBidi"/>
          <w:sz w:val="18"/>
          <w:szCs w:val="18"/>
        </w:rPr>
        <w:t>antiproliferative</w:t>
      </w:r>
      <w:proofErr w:type="spellEnd"/>
      <w:r>
        <w:rPr>
          <w:rFonts w:asciiTheme="majorBidi" w:hAnsiTheme="majorBidi" w:cstheme="majorBidi"/>
          <w:sz w:val="18"/>
          <w:szCs w:val="18"/>
        </w:rPr>
        <w:t xml:space="preserve"> and apoptotic effects in PC3 cell line, which could be explainable by its high potency to inhibit expression of the prominent oncogene </w:t>
      </w:r>
      <w:proofErr w:type="spellStart"/>
      <w:r>
        <w:rPr>
          <w:rFonts w:asciiTheme="majorBidi" w:hAnsiTheme="majorBidi" w:cstheme="majorBidi"/>
          <w:sz w:val="18"/>
          <w:szCs w:val="18"/>
        </w:rPr>
        <w:t>hTERT</w:t>
      </w:r>
      <w:proofErr w:type="spellEnd"/>
      <w:r>
        <w:rPr>
          <w:rFonts w:asciiTheme="majorBidi" w:hAnsiTheme="majorBidi" w:cstheme="majorBidi"/>
          <w:sz w:val="18"/>
          <w:szCs w:val="18"/>
        </w:rPr>
        <w:t xml:space="preserve"> in prostate cancer.</w:t>
      </w:r>
    </w:p>
    <w:p w:rsidR="00AE3E37" w:rsidRDefault="00A9710C">
      <w:pPr>
        <w:pStyle w:val="Heading3"/>
        <w:spacing w:before="74"/>
      </w:pPr>
      <w:r>
        <w:rPr>
          <w:b w:val="0"/>
        </w:rPr>
        <w:br w:type="column"/>
      </w:r>
      <w:r>
        <w:rPr>
          <w:color w:val="BF5A14"/>
        </w:rPr>
        <w:lastRenderedPageBreak/>
        <w:t>Image</w:t>
      </w:r>
    </w:p>
    <w:p w:rsidR="00AE3E37" w:rsidRDefault="00504A04">
      <w:pPr>
        <w:pStyle w:val="BodyText"/>
        <w:spacing w:before="2"/>
        <w:rPr>
          <w:rFonts w:ascii="Arial"/>
          <w:b/>
          <w:sz w:val="16"/>
        </w:rPr>
      </w:pPr>
      <w:r>
        <w:rPr>
          <w:noProof/>
        </w:rPr>
        <w:drawing>
          <wp:inline distT="0" distB="0" distL="0" distR="0" wp14:anchorId="020D4BFB" wp14:editId="52F17C8A">
            <wp:extent cx="3165475" cy="1358265"/>
            <wp:effectExtent l="0" t="0" r="0" b="0"/>
            <wp:docPr id="29" name="Picture 29" descr="C:\Users\mojtaba.A\Desktop\ن.png"/>
            <wp:cNvGraphicFramePr/>
            <a:graphic xmlns:a="http://schemas.openxmlformats.org/drawingml/2006/main">
              <a:graphicData uri="http://schemas.openxmlformats.org/drawingml/2006/picture">
                <pic:pic xmlns:pic="http://schemas.openxmlformats.org/drawingml/2006/picture">
                  <pic:nvPicPr>
                    <pic:cNvPr id="29" name="Picture 29" descr="C:\Users\mojtaba.A\Desktop\ن.pn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35826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504A04" w:rsidRDefault="00504A04" w:rsidP="00504A04">
      <w:pPr>
        <w:pStyle w:val="ListParagraph"/>
        <w:numPr>
          <w:ilvl w:val="0"/>
          <w:numId w:val="3"/>
        </w:numPr>
        <w:tabs>
          <w:tab w:val="left" w:pos="384"/>
        </w:tabs>
        <w:spacing w:line="216" w:lineRule="exact"/>
        <w:ind w:right="137" w:hanging="283"/>
        <w:rPr>
          <w:sz w:val="18"/>
          <w:szCs w:val="18"/>
        </w:rPr>
      </w:pPr>
      <w:r w:rsidRPr="00504A04">
        <w:rPr>
          <w:rFonts w:ascii="Times New Roman" w:hAnsi="Times New Roman" w:cs="B Zar"/>
          <w:noProof/>
          <w:sz w:val="18"/>
          <w:szCs w:val="18"/>
          <w:lang w:bidi="fa-IR"/>
        </w:rPr>
        <w:t>Isfahani LD, Monajemi R, Amjad L. Cytotoxic effects of extract and essential oil leaves of Achillea cancerwilhelmsii C. Koch on colon cancers cells. Exp Anim Biol. 2013;1:1-6.</w:t>
      </w:r>
      <w:r w:rsidR="005973B9" w:rsidRPr="00504A04">
        <w:rPr>
          <w:sz w:val="18"/>
          <w:szCs w:val="18"/>
        </w:rPr>
        <w:t xml:space="preserve"> </w:t>
      </w:r>
    </w:p>
    <w:p w:rsidR="004142F2" w:rsidRPr="004142F2" w:rsidRDefault="004142F2" w:rsidP="004142F2">
      <w:pPr>
        <w:pStyle w:val="ListParagraph"/>
        <w:numPr>
          <w:ilvl w:val="0"/>
          <w:numId w:val="3"/>
        </w:numPr>
        <w:spacing w:line="360" w:lineRule="auto"/>
        <w:rPr>
          <w:rFonts w:ascii="Times New Roman" w:eastAsiaTheme="minorHAnsi" w:hAnsi="Times New Roman" w:cs="B Zar"/>
          <w:noProof/>
          <w:sz w:val="18"/>
          <w:szCs w:val="18"/>
          <w:lang w:bidi="fa-IR"/>
        </w:rPr>
      </w:pPr>
      <w:r w:rsidRPr="004142F2">
        <w:rPr>
          <w:rFonts w:ascii="Times New Roman" w:hAnsi="Times New Roman" w:cs="B Zar"/>
          <w:noProof/>
          <w:sz w:val="18"/>
          <w:szCs w:val="18"/>
          <w:lang w:bidi="fa-IR"/>
        </w:rPr>
        <w:t>Csupor</w:t>
      </w:r>
      <w:r w:rsidRPr="004142F2">
        <w:rPr>
          <w:rFonts w:ascii="Cambria Math" w:hAnsi="Cambria Math" w:cs="Cambria Math"/>
          <w:noProof/>
          <w:sz w:val="18"/>
          <w:szCs w:val="18"/>
          <w:lang w:bidi="fa-IR"/>
        </w:rPr>
        <w:t>‐</w:t>
      </w:r>
      <w:r w:rsidRPr="004142F2">
        <w:rPr>
          <w:rFonts w:ascii="Times New Roman" w:hAnsi="Times New Roman" w:cs="B Zar"/>
          <w:noProof/>
          <w:sz w:val="18"/>
          <w:szCs w:val="18"/>
          <w:lang w:bidi="fa-IR"/>
        </w:rPr>
        <w:t>Löffler B, Hajdú Z, Zupkó I, Réthy B, Falkay G, Forgo P, et al. Antiproliferative effect of flavonoids and sesquiterpenoids from Achillea millefolium sl on cultured human tumour cell lines. Phytotherapy Research. 2009;23(5):672-6.</w:t>
      </w:r>
    </w:p>
    <w:p w:rsidR="004142F2" w:rsidRPr="004142F2" w:rsidRDefault="004142F2" w:rsidP="004142F2">
      <w:pPr>
        <w:pStyle w:val="ListParagraph"/>
        <w:numPr>
          <w:ilvl w:val="0"/>
          <w:numId w:val="3"/>
        </w:numPr>
        <w:spacing w:line="360" w:lineRule="auto"/>
        <w:rPr>
          <w:rFonts w:ascii="Times New Roman" w:eastAsiaTheme="minorHAnsi" w:hAnsi="Times New Roman" w:cs="B Zar"/>
          <w:noProof/>
          <w:sz w:val="18"/>
          <w:szCs w:val="18"/>
          <w:lang w:bidi="fa-IR"/>
        </w:rPr>
      </w:pPr>
      <w:r w:rsidRPr="004142F2">
        <w:rPr>
          <w:rFonts w:ascii="Times New Roman" w:hAnsi="Times New Roman" w:cs="B Zar"/>
          <w:noProof/>
          <w:sz w:val="18"/>
          <w:szCs w:val="18"/>
          <w:lang w:bidi="fa-IR"/>
        </w:rPr>
        <w:t>Bali EB, Açık L, Elçi P, Sarper M, Avcu F, Vural M. In vitro anti-oxidant, cytotoxic and pro-apoptotic effects of Achillea teretifolia Willd extracts on human prostate cancer cell lines. Pharmacognosy magazine. 2015;11(Suppl 2):S308.</w:t>
      </w:r>
    </w:p>
    <w:p w:rsidR="005973B9" w:rsidRDefault="004142F2" w:rsidP="004142F2">
      <w:pPr>
        <w:pStyle w:val="BodyText"/>
        <w:numPr>
          <w:ilvl w:val="0"/>
          <w:numId w:val="3"/>
        </w:numPr>
        <w:spacing w:before="85" w:line="216" w:lineRule="exact"/>
        <w:ind w:right="138"/>
        <w:jc w:val="both"/>
        <w:rPr>
          <w:rFonts w:ascii="Times New Roman" w:hAnsi="Times New Roman" w:cs="B Zar"/>
          <w:noProof/>
          <w:sz w:val="24"/>
          <w:szCs w:val="28"/>
          <w:lang w:bidi="fa-IR"/>
        </w:rPr>
      </w:pPr>
      <w:r w:rsidRPr="004142F2">
        <w:rPr>
          <w:rFonts w:ascii="Times New Roman" w:hAnsi="Times New Roman" w:cs="B Zar"/>
          <w:noProof/>
          <w:lang w:bidi="fa-IR"/>
        </w:rPr>
        <w:t>Wang C-M, Jia Z-J, Zheng R-L. The effect of 17 sesquiterpenes on cell viability and telomerase activity in the human ovarian cancer cell line HO-8910.</w:t>
      </w:r>
      <w:r>
        <w:rPr>
          <w:rFonts w:ascii="Times New Roman" w:hAnsi="Times New Roman" w:cs="B Zar"/>
          <w:noProof/>
          <w:sz w:val="24"/>
          <w:szCs w:val="28"/>
          <w:lang w:bidi="fa-IR"/>
        </w:rPr>
        <w:t xml:space="preserve"> </w:t>
      </w:r>
    </w:p>
    <w:p w:rsidR="004142F2" w:rsidRPr="004142F2" w:rsidRDefault="004142F2" w:rsidP="004142F2">
      <w:pPr>
        <w:pStyle w:val="BodyText"/>
        <w:numPr>
          <w:ilvl w:val="0"/>
          <w:numId w:val="3"/>
        </w:numPr>
        <w:spacing w:before="85" w:line="216" w:lineRule="exact"/>
        <w:ind w:right="138"/>
        <w:jc w:val="both"/>
        <w:rPr>
          <w:rFonts w:ascii="Calibri" w:hAnsi="Calibri"/>
        </w:rPr>
      </w:pPr>
      <w:r w:rsidRPr="004142F2">
        <w:rPr>
          <w:rFonts w:ascii="Times New Roman" w:hAnsi="Times New Roman" w:cs="B Zar"/>
          <w:noProof/>
          <w:lang w:bidi="fa-IR"/>
        </w:rPr>
        <w:t>Dadkhah A, Fatemi F, Alipour M, Ghaderi Z, Zolfaghari F, Razdan F. Protective effects of Iranian Achillea wilhelmsii essential oil on acetaminophen-induced oxidative stress in rat liver. Pharmaceutical biology</w:t>
      </w:r>
      <w:r w:rsidRPr="004142F2">
        <w:rPr>
          <w:rFonts w:ascii="Times New Roman" w:hAnsi="Times New Roman" w:cs="B Zar"/>
          <w:noProof/>
          <w:lang w:bidi="fa-IR"/>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8E36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142F2">
      <w:pPr>
        <w:spacing w:before="92"/>
        <w:ind w:right="4234"/>
        <w:rPr>
          <w:rFonts w:ascii="Arial"/>
        </w:rPr>
      </w:pPr>
      <w:r>
        <w:rPr>
          <w:noProof/>
        </w:rPr>
        <w:t xml:space="preserve">              </w:t>
      </w:r>
      <w:r w:rsidR="004142F2">
        <w:rPr>
          <w:noProof/>
        </w:rPr>
        <w:drawing>
          <wp:inline distT="0" distB="0" distL="0" distR="0">
            <wp:extent cx="963367" cy="75184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625" cy="762967"/>
                    </a:xfrm>
                    <a:prstGeom prst="rect">
                      <a:avLst/>
                    </a:prstGeom>
                    <a:noFill/>
                    <a:ln>
                      <a:noFill/>
                    </a:ln>
                  </pic:spPr>
                </pic:pic>
              </a:graphicData>
            </a:graphic>
          </wp:inline>
        </w:drawing>
      </w:r>
      <w:r w:rsidR="004142F2">
        <w:rPr>
          <w:noProof/>
        </w:rPr>
        <w:t xml:space="preserve">  </w:t>
      </w:r>
      <w:proofErr w:type="gramStart"/>
      <w:r w:rsidR="00A9710C">
        <w:rPr>
          <w:rFonts w:ascii="Arial"/>
          <w:color w:val="BF5A14"/>
        </w:rPr>
        <w:t>Biography</w:t>
      </w:r>
      <w:r w:rsidR="00404E5B">
        <w:rPr>
          <w:rFonts w:ascii="Arial"/>
          <w:color w:val="BF5A14"/>
        </w:rPr>
        <w:t xml:space="preserve"> </w:t>
      </w:r>
      <w:r w:rsidR="004142F2">
        <w:rPr>
          <w:rFonts w:ascii="Arial"/>
          <w:color w:val="BF5A14"/>
        </w:rPr>
        <w:t>:</w:t>
      </w:r>
      <w:proofErr w:type="gramEnd"/>
    </w:p>
    <w:p w:rsidR="004142F2" w:rsidRDefault="004142F2" w:rsidP="004142F2">
      <w:pPr>
        <w:jc w:val="both"/>
        <w:rPr>
          <w:rFonts w:ascii="Times New Roman" w:eastAsia="MS PGothic" w:hAnsi="Times New Roman" w:cs="Times New Roman"/>
          <w:b/>
          <w:color w:val="000000"/>
          <w:sz w:val="16"/>
          <w:szCs w:val="16"/>
        </w:rPr>
      </w:pPr>
      <w:proofErr w:type="spellStart"/>
      <w:r>
        <w:rPr>
          <w:rFonts w:eastAsia="MS PGothic" w:hAnsi="Arial"/>
          <w:color w:val="000000"/>
          <w:sz w:val="16"/>
          <w:szCs w:val="16"/>
        </w:rPr>
        <w:t>Hosniyeh</w:t>
      </w:r>
      <w:proofErr w:type="spellEnd"/>
      <w:r>
        <w:rPr>
          <w:rFonts w:eastAsia="MS PGothic" w:hAnsi="Arial"/>
          <w:color w:val="000000"/>
          <w:sz w:val="16"/>
          <w:szCs w:val="16"/>
        </w:rPr>
        <w:t xml:space="preserve"> </w:t>
      </w:r>
      <w:proofErr w:type="spellStart"/>
      <w:r>
        <w:rPr>
          <w:rFonts w:eastAsia="MS PGothic" w:hAnsi="Arial"/>
          <w:color w:val="000000"/>
          <w:sz w:val="16"/>
          <w:szCs w:val="16"/>
        </w:rPr>
        <w:t>Amini</w:t>
      </w:r>
      <w:proofErr w:type="spellEnd"/>
      <w:r>
        <w:rPr>
          <w:sz w:val="16"/>
          <w:szCs w:val="16"/>
        </w:rPr>
        <w:t xml:space="preserve"> has completed his Master at the age of 27 years from Tehran. She </w:t>
      </w:r>
      <w:proofErr w:type="gramStart"/>
      <w:r>
        <w:rPr>
          <w:sz w:val="16"/>
          <w:szCs w:val="16"/>
        </w:rPr>
        <w:t>study</w:t>
      </w:r>
      <w:proofErr w:type="gramEnd"/>
      <w:r>
        <w:rPr>
          <w:sz w:val="16"/>
          <w:szCs w:val="16"/>
        </w:rPr>
        <w:t xml:space="preserve"> about effect of drugs in cancer and mental.</w:t>
      </w:r>
    </w:p>
    <w:p w:rsidR="00AE3E37" w:rsidRDefault="00A9710C" w:rsidP="004142F2">
      <w:pPr>
        <w:spacing w:before="62"/>
        <w:ind w:left="4217" w:right="4235"/>
        <w:jc w:val="center"/>
        <w:rPr>
          <w:rFonts w:ascii="Arial"/>
          <w:sz w:val="14"/>
        </w:rPr>
      </w:pPr>
      <w:r>
        <w:rPr>
          <w:rFonts w:ascii="Arial"/>
          <w:sz w:val="14"/>
        </w:rPr>
        <w:t xml:space="preserve">Email: </w:t>
      </w:r>
      <w:hyperlink r:id="rId11" w:history="1">
        <w:r w:rsidR="004142F2" w:rsidRPr="00105DEC">
          <w:rPr>
            <w:rStyle w:val="Hyperlink"/>
            <w:rFonts w:ascii="Arial"/>
            <w:sz w:val="14"/>
          </w:rPr>
          <w:t>mojtaba.ashtiani.20@gmail.com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195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DCB" w:rsidRDefault="00723DCB">
      <w:r>
        <w:separator/>
      </w:r>
    </w:p>
  </w:endnote>
  <w:endnote w:type="continuationSeparator" w:id="0">
    <w:p w:rsidR="00723DCB" w:rsidRDefault="0072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 Za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DCB" w:rsidRDefault="00723DCB">
      <w:r>
        <w:separator/>
      </w:r>
    </w:p>
  </w:footnote>
  <w:footnote w:type="continuationSeparator" w:id="0">
    <w:p w:rsidR="00723DCB" w:rsidRDefault="00723D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969DA"/>
    <w:rsid w:val="00404E5B"/>
    <w:rsid w:val="004142F2"/>
    <w:rsid w:val="00414F7B"/>
    <w:rsid w:val="004355DC"/>
    <w:rsid w:val="004749B4"/>
    <w:rsid w:val="00494130"/>
    <w:rsid w:val="004F3523"/>
    <w:rsid w:val="00504A04"/>
    <w:rsid w:val="005973B9"/>
    <w:rsid w:val="005B3A56"/>
    <w:rsid w:val="006060CE"/>
    <w:rsid w:val="0063497F"/>
    <w:rsid w:val="00723DCB"/>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92FCB"/>
  <w15:docId w15:val="{66884D02-42B6-4B41-80BF-E498D05B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57269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5936673">
      <w:bodyDiv w:val="1"/>
      <w:marLeft w:val="0"/>
      <w:marRight w:val="0"/>
      <w:marTop w:val="0"/>
      <w:marBottom w:val="0"/>
      <w:divBdr>
        <w:top w:val="none" w:sz="0" w:space="0" w:color="auto"/>
        <w:left w:val="none" w:sz="0" w:space="0" w:color="auto"/>
        <w:bottom w:val="none" w:sz="0" w:space="0" w:color="auto"/>
        <w:right w:val="none" w:sz="0" w:space="0" w:color="auto"/>
      </w:divBdr>
    </w:div>
    <w:div w:id="72937772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53779101">
      <w:bodyDiv w:val="1"/>
      <w:marLeft w:val="0"/>
      <w:marRight w:val="0"/>
      <w:marTop w:val="0"/>
      <w:marBottom w:val="0"/>
      <w:divBdr>
        <w:top w:val="none" w:sz="0" w:space="0" w:color="auto"/>
        <w:left w:val="none" w:sz="0" w:space="0" w:color="auto"/>
        <w:bottom w:val="none" w:sz="0" w:space="0" w:color="auto"/>
        <w:right w:val="none" w:sz="0" w:space="0" w:color="auto"/>
      </w:divBdr>
    </w:div>
    <w:div w:id="2058703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jtaba.ashtiani.20@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mojtaba.A</cp:lastModifiedBy>
  <cp:revision>2</cp:revision>
  <dcterms:created xsi:type="dcterms:W3CDTF">2017-08-01T11:58:00Z</dcterms:created>
  <dcterms:modified xsi:type="dcterms:W3CDTF">2017-08-01T11:58:00Z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