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E34" w:rsidRDefault="008F5E34" w:rsidP="008F5E34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8F5E34" w:rsidRPr="00534900" w:rsidRDefault="008F5E34" w:rsidP="008F5E34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34900">
        <w:rPr>
          <w:rFonts w:asciiTheme="majorBidi" w:hAnsiTheme="majorBidi" w:cstheme="majorBidi"/>
          <w:b/>
          <w:bCs/>
          <w:sz w:val="32"/>
          <w:szCs w:val="32"/>
        </w:rPr>
        <w:t>Characterization of flow cytometric immunophenotyping  in Iraqi patients with acute lymphoblastic leukemia</w:t>
      </w:r>
    </w:p>
    <w:p w:rsidR="008F5E34" w:rsidRDefault="008F5E34" w:rsidP="008F5E34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8F5E34" w:rsidRPr="008F0DC8" w:rsidRDefault="008F5E34" w:rsidP="008F5E34">
      <w:pPr>
        <w:jc w:val="both"/>
        <w:rPr>
          <w:rFonts w:asciiTheme="majorBidi" w:hAnsiTheme="majorBidi" w:cstheme="majorBidi"/>
          <w:b/>
          <w:bCs/>
        </w:rPr>
      </w:pPr>
      <w:r w:rsidRPr="008F0DC8">
        <w:rPr>
          <w:rFonts w:asciiTheme="majorBidi" w:eastAsia="MS Mincho" w:hAnsiTheme="majorBidi" w:cstheme="majorBidi"/>
          <w:b/>
          <w:bCs/>
        </w:rPr>
        <w:t xml:space="preserve">Faris H. Jaafar, </w:t>
      </w:r>
      <w:r w:rsidRPr="008F0DC8">
        <w:rPr>
          <w:rFonts w:asciiTheme="majorBidi" w:eastAsia="MS Mincho" w:hAnsiTheme="majorBidi" w:cstheme="majorBidi"/>
        </w:rPr>
        <w:t>FICMS, MBChB</w:t>
      </w:r>
      <w:r>
        <w:rPr>
          <w:rFonts w:asciiTheme="majorBidi" w:eastAsia="MS Mincho" w:hAnsiTheme="majorBidi" w:cstheme="majorBidi"/>
          <w:vertAlign w:val="superscript"/>
        </w:rPr>
        <w:t>1</w:t>
      </w:r>
      <w:r>
        <w:rPr>
          <w:rFonts w:asciiTheme="majorBidi" w:eastAsia="MS Mincho" w:hAnsiTheme="majorBidi" w:cstheme="majorBidi"/>
        </w:rPr>
        <w:t xml:space="preserve">, </w:t>
      </w:r>
      <w:r w:rsidRPr="008F0DC8">
        <w:rPr>
          <w:rFonts w:asciiTheme="majorBidi" w:hAnsiTheme="majorBidi" w:cstheme="majorBidi"/>
          <w:b/>
          <w:bCs/>
        </w:rPr>
        <w:t xml:space="preserve">Areej E. Kadhom, </w:t>
      </w:r>
      <w:r w:rsidRPr="008F0DC8">
        <w:rPr>
          <w:rFonts w:asciiTheme="majorBidi" w:hAnsiTheme="majorBidi" w:cstheme="majorBidi"/>
        </w:rPr>
        <w:t>PhD, MSc, MBChB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>.</w:t>
      </w:r>
    </w:p>
    <w:p w:rsidR="008F5E34" w:rsidRPr="00796CD0" w:rsidRDefault="008F5E34" w:rsidP="008F5E34">
      <w:pPr>
        <w:pStyle w:val="a3"/>
        <w:numPr>
          <w:ilvl w:val="0"/>
          <w:numId w:val="1"/>
        </w:numPr>
        <w:ind w:left="360"/>
        <w:jc w:val="both"/>
        <w:rPr>
          <w:rFonts w:asciiTheme="majorBidi" w:hAnsiTheme="majorBidi" w:cstheme="majorBidi"/>
        </w:rPr>
      </w:pPr>
      <w:r w:rsidRPr="00796CD0">
        <w:rPr>
          <w:rFonts w:asciiTheme="majorBidi" w:hAnsiTheme="majorBidi" w:cstheme="majorBidi"/>
        </w:rPr>
        <w:t xml:space="preserve">Department of Flowcytometry, </w:t>
      </w:r>
      <w:r>
        <w:rPr>
          <w:rFonts w:asciiTheme="majorBidi" w:hAnsiTheme="majorBidi" w:cstheme="majorBidi"/>
        </w:rPr>
        <w:t xml:space="preserve">Bone Marrow Transplantion Center, </w:t>
      </w:r>
      <w:r w:rsidRPr="00796CD0">
        <w:rPr>
          <w:rFonts w:asciiTheme="majorBidi" w:hAnsiTheme="majorBidi" w:cstheme="majorBidi"/>
        </w:rPr>
        <w:t>Private Nursing Home Hospital, Medical City Center, Baghdad.</w:t>
      </w:r>
    </w:p>
    <w:p w:rsidR="008F5E34" w:rsidRPr="001B748B" w:rsidRDefault="008F5E34" w:rsidP="008F5E34">
      <w:pPr>
        <w:pStyle w:val="a3"/>
        <w:numPr>
          <w:ilvl w:val="0"/>
          <w:numId w:val="1"/>
        </w:numPr>
        <w:ind w:left="360"/>
        <w:jc w:val="both"/>
        <w:rPr>
          <w:rFonts w:asciiTheme="majorBidi" w:hAnsiTheme="majorBidi" w:cstheme="majorBidi"/>
        </w:rPr>
      </w:pPr>
      <w:r w:rsidRPr="00796CD0">
        <w:rPr>
          <w:rFonts w:asciiTheme="majorBidi" w:hAnsiTheme="majorBidi" w:cstheme="majorBidi"/>
        </w:rPr>
        <w:t>Department of Laboratory, Baghdad Teaching Hospital, Medical City Center, Baghdad.</w:t>
      </w:r>
    </w:p>
    <w:p w:rsidR="008F5E34" w:rsidRPr="008F0DC8" w:rsidRDefault="008F5E34" w:rsidP="008F5E34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8F5E34" w:rsidRPr="008F0DC8" w:rsidRDefault="008F5E34" w:rsidP="008F5E34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8F0DC8">
        <w:rPr>
          <w:rFonts w:asciiTheme="majorBidi" w:hAnsiTheme="majorBidi" w:cstheme="majorBidi"/>
          <w:b/>
          <w:bCs/>
        </w:rPr>
        <w:t>Abstract:</w:t>
      </w:r>
      <w:bookmarkStart w:id="0" w:name="_GoBack"/>
      <w:bookmarkEnd w:id="0"/>
    </w:p>
    <w:p w:rsidR="008F5E34" w:rsidRPr="008F0DC8" w:rsidRDefault="008F5E34" w:rsidP="008F5E34">
      <w:pPr>
        <w:spacing w:line="360" w:lineRule="auto"/>
        <w:jc w:val="both"/>
        <w:rPr>
          <w:rFonts w:asciiTheme="majorBidi" w:hAnsiTheme="majorBidi" w:cstheme="majorBidi"/>
        </w:rPr>
      </w:pPr>
      <w:r w:rsidRPr="008F0DC8">
        <w:rPr>
          <w:rFonts w:asciiTheme="majorBidi" w:hAnsiTheme="majorBidi" w:cstheme="majorBidi"/>
          <w:b/>
          <w:bCs/>
        </w:rPr>
        <w:t>Background:</w:t>
      </w:r>
      <w:r w:rsidRPr="008F0DC8">
        <w:rPr>
          <w:rFonts w:asciiTheme="majorBidi" w:hAnsiTheme="majorBidi" w:cstheme="majorBidi"/>
        </w:rPr>
        <w:t xml:space="preserve"> Acute lymphoblastic leukemia (ALL) is a neoplastic disease that has different immunophenotypic subtypes with variant prognostic significance and/ or response to a particular treatment.</w:t>
      </w:r>
    </w:p>
    <w:p w:rsidR="008F5E34" w:rsidRPr="008F0DC8" w:rsidRDefault="008F5E34" w:rsidP="008F5E34">
      <w:pPr>
        <w:spacing w:line="360" w:lineRule="auto"/>
        <w:rPr>
          <w:rFonts w:asciiTheme="majorBidi" w:hAnsiTheme="majorBidi" w:cstheme="majorBidi"/>
        </w:rPr>
      </w:pPr>
      <w:r w:rsidRPr="008F0DC8">
        <w:rPr>
          <w:rFonts w:asciiTheme="majorBidi" w:hAnsiTheme="majorBidi" w:cstheme="majorBidi"/>
          <w:b/>
          <w:bCs/>
        </w:rPr>
        <w:t>Aim of study:</w:t>
      </w:r>
      <w:r w:rsidRPr="008F0DC8">
        <w:rPr>
          <w:rFonts w:asciiTheme="majorBidi" w:hAnsiTheme="majorBidi" w:cstheme="majorBidi"/>
        </w:rPr>
        <w:t xml:space="preserve"> To study the immunophenotypic characteristics of Iraqi ALL patients</w:t>
      </w:r>
      <w:r>
        <w:rPr>
          <w:rFonts w:asciiTheme="majorBidi" w:hAnsiTheme="majorBidi" w:cstheme="majorBidi"/>
        </w:rPr>
        <w:t xml:space="preserve"> and link findings with other clinical and laboratory parameters.</w:t>
      </w:r>
    </w:p>
    <w:p w:rsidR="008F5E34" w:rsidRPr="008F0DC8" w:rsidRDefault="008F5E34" w:rsidP="008F5E34">
      <w:pPr>
        <w:spacing w:line="360" w:lineRule="auto"/>
        <w:jc w:val="both"/>
        <w:rPr>
          <w:rFonts w:asciiTheme="majorBidi" w:hAnsiTheme="majorBidi" w:cstheme="majorBidi"/>
        </w:rPr>
      </w:pPr>
      <w:r w:rsidRPr="008F0DC8">
        <w:rPr>
          <w:rFonts w:asciiTheme="majorBidi" w:hAnsiTheme="majorBidi" w:cstheme="majorBidi"/>
          <w:b/>
          <w:bCs/>
        </w:rPr>
        <w:t xml:space="preserve">Patients, materials and methods: </w:t>
      </w:r>
      <w:r w:rsidRPr="008F0DC8">
        <w:rPr>
          <w:rFonts w:asciiTheme="majorBidi" w:hAnsiTheme="majorBidi" w:cstheme="majorBidi"/>
        </w:rPr>
        <w:t xml:space="preserve">A retrospective cross sectional study was conducted on 114 pediatric and adult ALL patients from different Hematology centers in Baghdad who were referred to flowcytometry department at the </w:t>
      </w:r>
      <w:r>
        <w:rPr>
          <w:rFonts w:asciiTheme="majorBidi" w:hAnsiTheme="majorBidi" w:cstheme="majorBidi"/>
        </w:rPr>
        <w:t xml:space="preserve">bone marrow transplantation center / </w:t>
      </w:r>
      <w:r w:rsidRPr="008F0DC8">
        <w:rPr>
          <w:rFonts w:asciiTheme="majorBidi" w:hAnsiTheme="majorBidi" w:cstheme="majorBidi"/>
        </w:rPr>
        <w:t>Private Nursing Home Hospital</w:t>
      </w:r>
      <w:r>
        <w:rPr>
          <w:rFonts w:asciiTheme="majorBidi" w:hAnsiTheme="majorBidi" w:cstheme="majorBidi"/>
        </w:rPr>
        <w:t xml:space="preserve"> </w:t>
      </w:r>
      <w:r w:rsidRPr="008F0DC8">
        <w:rPr>
          <w:rFonts w:asciiTheme="majorBidi" w:hAnsiTheme="majorBidi" w:cstheme="majorBidi"/>
        </w:rPr>
        <w:t>/ Medical City for immunophenotypic classification using multi-channel flowcytometry from the 1</w:t>
      </w:r>
      <w:r w:rsidRPr="008F0DC8">
        <w:rPr>
          <w:rFonts w:asciiTheme="majorBidi" w:hAnsiTheme="majorBidi" w:cstheme="majorBidi"/>
          <w:vertAlign w:val="superscript"/>
        </w:rPr>
        <w:t>st</w:t>
      </w:r>
      <w:r w:rsidRPr="008F0DC8">
        <w:rPr>
          <w:rFonts w:asciiTheme="majorBidi" w:hAnsiTheme="majorBidi" w:cstheme="majorBidi"/>
        </w:rPr>
        <w:t xml:space="preserve"> of January 2016 to the 31</w:t>
      </w:r>
      <w:r w:rsidRPr="008F0DC8">
        <w:rPr>
          <w:rFonts w:asciiTheme="majorBidi" w:hAnsiTheme="majorBidi" w:cstheme="majorBidi"/>
          <w:vertAlign w:val="superscript"/>
        </w:rPr>
        <w:t>st</w:t>
      </w:r>
      <w:r w:rsidRPr="008F0DC8">
        <w:rPr>
          <w:rFonts w:asciiTheme="majorBidi" w:hAnsiTheme="majorBidi" w:cstheme="majorBidi"/>
        </w:rPr>
        <w:t xml:space="preserve"> of August 2016.</w:t>
      </w:r>
    </w:p>
    <w:p w:rsidR="008F5E34" w:rsidRPr="008F0DC8" w:rsidRDefault="008F5E34" w:rsidP="008F5E34">
      <w:pPr>
        <w:spacing w:line="360" w:lineRule="auto"/>
        <w:jc w:val="both"/>
        <w:rPr>
          <w:rFonts w:asciiTheme="majorBidi" w:hAnsiTheme="majorBidi" w:cstheme="majorBidi"/>
        </w:rPr>
      </w:pPr>
      <w:r w:rsidRPr="008F0DC8">
        <w:rPr>
          <w:rFonts w:asciiTheme="majorBidi" w:hAnsiTheme="majorBidi" w:cstheme="majorBidi"/>
          <w:b/>
          <w:bCs/>
        </w:rPr>
        <w:t xml:space="preserve">Results: </w:t>
      </w:r>
      <w:r w:rsidRPr="008F0DC8">
        <w:rPr>
          <w:rFonts w:asciiTheme="majorBidi" w:hAnsiTheme="majorBidi" w:cstheme="majorBidi"/>
        </w:rPr>
        <w:t xml:space="preserve">Out of 114 patients, 71 patients were pediatric patients and 43 were adults. Eighty three patients were classified as B-cell ALL and 31 patients as T-cell ALL. There was significant association between male gender, high WBCs count and T-cell ALL subtype. </w:t>
      </w:r>
      <w:r>
        <w:rPr>
          <w:rFonts w:asciiTheme="majorBidi" w:hAnsiTheme="majorBidi" w:cstheme="majorBidi"/>
        </w:rPr>
        <w:t>Negative-dim-moderate</w:t>
      </w:r>
      <w:r w:rsidRPr="008F0DC8">
        <w:rPr>
          <w:rFonts w:asciiTheme="majorBidi" w:hAnsiTheme="majorBidi" w:cstheme="majorBidi"/>
        </w:rPr>
        <w:t xml:space="preserve"> CD45, positive CD34 and positive HLA-DR expressions were significantly </w:t>
      </w:r>
      <w:r>
        <w:rPr>
          <w:rFonts w:asciiTheme="majorBidi" w:hAnsiTheme="majorBidi" w:cstheme="majorBidi"/>
        </w:rPr>
        <w:t xml:space="preserve">associated </w:t>
      </w:r>
      <w:r w:rsidRPr="008F0DC8">
        <w:rPr>
          <w:rFonts w:asciiTheme="majorBidi" w:hAnsiTheme="majorBidi" w:cstheme="majorBidi"/>
        </w:rPr>
        <w:t xml:space="preserve"> with B-cell ALL. Common ALL antigen was </w:t>
      </w:r>
      <w:r>
        <w:rPr>
          <w:rFonts w:asciiTheme="majorBidi" w:hAnsiTheme="majorBidi" w:cstheme="majorBidi"/>
        </w:rPr>
        <w:t>seen</w:t>
      </w:r>
      <w:r w:rsidRPr="008F0DC8">
        <w:rPr>
          <w:rFonts w:asciiTheme="majorBidi" w:hAnsiTheme="majorBidi" w:cstheme="majorBidi"/>
        </w:rPr>
        <w:t xml:space="preserve"> in 86.7% of the B-cell ALL patients and was </w:t>
      </w:r>
      <w:r>
        <w:rPr>
          <w:rFonts w:asciiTheme="majorBidi" w:hAnsiTheme="majorBidi" w:cstheme="majorBidi"/>
        </w:rPr>
        <w:t xml:space="preserve">accompanied </w:t>
      </w:r>
      <w:r w:rsidRPr="008F0DC8">
        <w:rPr>
          <w:rFonts w:asciiTheme="majorBidi" w:hAnsiTheme="majorBidi" w:cstheme="majorBidi"/>
        </w:rPr>
        <w:t xml:space="preserve">cTdT expression. Aberrant myeloid antigens were observed in 22.9% of </w:t>
      </w:r>
      <w:r w:rsidRPr="008F0DC8">
        <w:rPr>
          <w:rFonts w:asciiTheme="majorBidi" w:hAnsiTheme="majorBidi" w:cstheme="majorBidi"/>
          <w:lang w:val="en-GB"/>
        </w:rPr>
        <w:t>B-</w:t>
      </w:r>
      <w:r w:rsidRPr="008F0DC8">
        <w:rPr>
          <w:rFonts w:asciiTheme="majorBidi" w:hAnsiTheme="majorBidi" w:cstheme="majorBidi"/>
        </w:rPr>
        <w:t xml:space="preserve">cell </w:t>
      </w:r>
      <w:r w:rsidRPr="008F0DC8">
        <w:rPr>
          <w:rFonts w:asciiTheme="majorBidi" w:hAnsiTheme="majorBidi" w:cstheme="majorBidi"/>
          <w:lang w:val="en-GB"/>
        </w:rPr>
        <w:t xml:space="preserve">ALL </w:t>
      </w:r>
      <w:r w:rsidRPr="008F0DC8">
        <w:rPr>
          <w:rFonts w:asciiTheme="majorBidi" w:hAnsiTheme="majorBidi" w:cstheme="majorBidi"/>
        </w:rPr>
        <w:t>patients</w:t>
      </w:r>
      <w:r w:rsidRPr="008F0DC8">
        <w:rPr>
          <w:rFonts w:asciiTheme="majorBidi" w:hAnsiTheme="majorBidi" w:cstheme="majorBidi"/>
          <w:lang w:val="en-GB"/>
        </w:rPr>
        <w:t xml:space="preserve"> and in </w:t>
      </w:r>
      <w:r w:rsidRPr="008F0DC8">
        <w:rPr>
          <w:rFonts w:asciiTheme="majorBidi" w:hAnsiTheme="majorBidi" w:cstheme="majorBidi"/>
        </w:rPr>
        <w:t xml:space="preserve">35.5% </w:t>
      </w:r>
      <w:r>
        <w:rPr>
          <w:rFonts w:asciiTheme="majorBidi" w:hAnsiTheme="majorBidi" w:cstheme="majorBidi"/>
        </w:rPr>
        <w:t>of T-cell ALL. About</w:t>
      </w:r>
      <w:r w:rsidRPr="008F0DC8">
        <w:rPr>
          <w:rFonts w:asciiTheme="majorBidi" w:hAnsiTheme="majorBidi" w:cstheme="majorBidi"/>
        </w:rPr>
        <w:t xml:space="preserve"> 4.8% of </w:t>
      </w:r>
      <w:r>
        <w:rPr>
          <w:rFonts w:asciiTheme="majorBidi" w:hAnsiTheme="majorBidi" w:cstheme="majorBidi"/>
        </w:rPr>
        <w:t xml:space="preserve">the </w:t>
      </w:r>
      <w:r w:rsidRPr="008F0DC8">
        <w:rPr>
          <w:rFonts w:asciiTheme="majorBidi" w:hAnsiTheme="majorBidi" w:cstheme="majorBidi"/>
        </w:rPr>
        <w:t>patients</w:t>
      </w:r>
      <w:r w:rsidRPr="008F0DC8">
        <w:rPr>
          <w:rFonts w:asciiTheme="majorBidi" w:hAnsiTheme="majorBidi" w:cstheme="majorBidi"/>
          <w:lang w:val="en-GB"/>
        </w:rPr>
        <w:t xml:space="preserve"> </w:t>
      </w:r>
      <w:r w:rsidRPr="008F0DC8">
        <w:rPr>
          <w:rFonts w:asciiTheme="majorBidi" w:hAnsiTheme="majorBidi" w:cstheme="majorBidi"/>
        </w:rPr>
        <w:t>with</w:t>
      </w:r>
      <w:r w:rsidRPr="008F0DC8">
        <w:rPr>
          <w:rFonts w:asciiTheme="majorBidi" w:hAnsiTheme="majorBidi" w:cstheme="majorBidi"/>
          <w:lang w:val="en-GB"/>
        </w:rPr>
        <w:t xml:space="preserve"> B-</w:t>
      </w:r>
      <w:r w:rsidRPr="008F0DC8">
        <w:rPr>
          <w:rFonts w:asciiTheme="majorBidi" w:hAnsiTheme="majorBidi" w:cstheme="majorBidi"/>
        </w:rPr>
        <w:t xml:space="preserve">cell </w:t>
      </w:r>
      <w:r w:rsidRPr="008F0DC8">
        <w:rPr>
          <w:rFonts w:asciiTheme="majorBidi" w:hAnsiTheme="majorBidi" w:cstheme="majorBidi"/>
          <w:lang w:val="en-GB"/>
        </w:rPr>
        <w:t xml:space="preserve">ALL </w:t>
      </w:r>
      <w:r w:rsidRPr="008F0DC8">
        <w:rPr>
          <w:rFonts w:asciiTheme="majorBidi" w:hAnsiTheme="majorBidi" w:cstheme="majorBidi"/>
        </w:rPr>
        <w:t>had</w:t>
      </w:r>
      <w:r>
        <w:rPr>
          <w:rFonts w:asciiTheme="majorBidi" w:hAnsiTheme="majorBidi" w:cstheme="majorBidi"/>
          <w:lang w:val="en-GB"/>
        </w:rPr>
        <w:t xml:space="preserve"> aberrant</w:t>
      </w:r>
      <w:r w:rsidRPr="008F0DC8">
        <w:rPr>
          <w:rFonts w:asciiTheme="majorBidi" w:hAnsiTheme="majorBidi" w:cstheme="majorBidi"/>
          <w:lang w:val="en-GB"/>
        </w:rPr>
        <w:t xml:space="preserve"> T linage </w:t>
      </w:r>
      <w:r>
        <w:rPr>
          <w:rFonts w:asciiTheme="majorBidi" w:hAnsiTheme="majorBidi" w:cstheme="majorBidi"/>
        </w:rPr>
        <w:t>antigens</w:t>
      </w:r>
      <w:r w:rsidRPr="008F0DC8">
        <w:rPr>
          <w:rFonts w:asciiTheme="majorBidi" w:hAnsiTheme="majorBidi" w:cstheme="majorBidi"/>
        </w:rPr>
        <w:t xml:space="preserve"> while 6.5% of the patients with</w:t>
      </w:r>
      <w:r w:rsidRPr="008F0DC8">
        <w:rPr>
          <w:rFonts w:asciiTheme="majorBidi" w:hAnsiTheme="majorBidi" w:cstheme="majorBidi"/>
          <w:lang w:val="en-GB"/>
        </w:rPr>
        <w:t xml:space="preserve"> T-</w:t>
      </w:r>
      <w:r w:rsidRPr="008F0DC8">
        <w:rPr>
          <w:rFonts w:asciiTheme="majorBidi" w:hAnsiTheme="majorBidi" w:cstheme="majorBidi"/>
        </w:rPr>
        <w:t xml:space="preserve">cell </w:t>
      </w:r>
      <w:r w:rsidRPr="008F0DC8">
        <w:rPr>
          <w:rFonts w:asciiTheme="majorBidi" w:hAnsiTheme="majorBidi" w:cstheme="majorBidi"/>
          <w:lang w:val="en-GB"/>
        </w:rPr>
        <w:t xml:space="preserve">ALL </w:t>
      </w:r>
      <w:r>
        <w:rPr>
          <w:rFonts w:asciiTheme="majorBidi" w:hAnsiTheme="majorBidi" w:cstheme="majorBidi"/>
        </w:rPr>
        <w:t>expressed</w:t>
      </w:r>
      <w:r w:rsidRPr="008F0DC8">
        <w:rPr>
          <w:rFonts w:asciiTheme="majorBidi" w:hAnsiTheme="majorBidi" w:cstheme="majorBidi"/>
        </w:rPr>
        <w:t xml:space="preserve"> aberrant B-cell lineage </w:t>
      </w:r>
      <w:r>
        <w:rPr>
          <w:rFonts w:asciiTheme="majorBidi" w:hAnsiTheme="majorBidi" w:cstheme="majorBidi"/>
        </w:rPr>
        <w:t>antigens</w:t>
      </w:r>
      <w:r w:rsidRPr="008F0DC8">
        <w:rPr>
          <w:rFonts w:asciiTheme="majorBidi" w:hAnsiTheme="majorBidi" w:cstheme="majorBidi"/>
        </w:rPr>
        <w:t>.</w:t>
      </w:r>
    </w:p>
    <w:p w:rsidR="008F5E34" w:rsidRDefault="008F5E34" w:rsidP="008F5E34">
      <w:pPr>
        <w:spacing w:line="360" w:lineRule="auto"/>
        <w:jc w:val="both"/>
        <w:rPr>
          <w:rFonts w:asciiTheme="majorBidi" w:hAnsiTheme="majorBidi" w:cstheme="majorBidi"/>
        </w:rPr>
      </w:pPr>
      <w:r w:rsidRPr="008F0DC8">
        <w:rPr>
          <w:rFonts w:asciiTheme="majorBidi" w:hAnsiTheme="majorBidi" w:cstheme="majorBidi"/>
          <w:b/>
          <w:bCs/>
        </w:rPr>
        <w:t>Conclusion:</w:t>
      </w:r>
      <w:r w:rsidRPr="008F0DC8">
        <w:rPr>
          <w:rFonts w:asciiTheme="majorBidi" w:hAnsiTheme="majorBidi" w:cstheme="majorBidi"/>
        </w:rPr>
        <w:t xml:space="preserve"> </w:t>
      </w:r>
      <w:r w:rsidRPr="00FE7753">
        <w:rPr>
          <w:rFonts w:asciiTheme="majorBidi" w:hAnsiTheme="majorBidi" w:cstheme="majorBidi"/>
        </w:rPr>
        <w:t xml:space="preserve">Immunophenotyping </w:t>
      </w:r>
      <w:r>
        <w:rPr>
          <w:rFonts w:asciiTheme="majorBidi" w:hAnsiTheme="majorBidi" w:cstheme="majorBidi"/>
        </w:rPr>
        <w:t xml:space="preserve">is </w:t>
      </w:r>
      <w:r w:rsidRPr="00FE7753">
        <w:rPr>
          <w:rFonts w:asciiTheme="majorBidi" w:hAnsiTheme="majorBidi" w:cstheme="majorBidi"/>
        </w:rPr>
        <w:t>a necessary diagnostic implement in diseas</w:t>
      </w:r>
      <w:r>
        <w:rPr>
          <w:rFonts w:asciiTheme="majorBidi" w:hAnsiTheme="majorBidi" w:cstheme="majorBidi"/>
        </w:rPr>
        <w:t xml:space="preserve">e </w:t>
      </w:r>
      <w:r w:rsidRPr="00FE7753">
        <w:rPr>
          <w:rFonts w:asciiTheme="majorBidi" w:hAnsiTheme="majorBidi" w:cstheme="majorBidi"/>
        </w:rPr>
        <w:t xml:space="preserve">categorization, outcome prediction, treatment and disease monitoring of leukemias. </w:t>
      </w:r>
      <w:r w:rsidR="00300E05">
        <w:rPr>
          <w:rFonts w:asciiTheme="majorBidi" w:hAnsiTheme="majorBidi" w:cstheme="majorBidi"/>
        </w:rPr>
        <w:t xml:space="preserve">Iraqi patients with acute </w:t>
      </w:r>
      <w:r w:rsidR="00300E05">
        <w:rPr>
          <w:rFonts w:asciiTheme="majorBidi" w:hAnsiTheme="majorBidi" w:cstheme="majorBidi"/>
        </w:rPr>
        <w:lastRenderedPageBreak/>
        <w:t>lymphoblastic leukemia show similar flowcytometric immunophenotyping to that expressed world wide as mentioned in different global researches and that could be a good quality control to our work in flowcytometry department in our BMT centre.</w:t>
      </w:r>
    </w:p>
    <w:p w:rsidR="00300E05" w:rsidRPr="00521285" w:rsidRDefault="00300E05" w:rsidP="00300E05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21285">
        <w:rPr>
          <w:rFonts w:asciiTheme="majorBidi" w:hAnsiTheme="majorBidi" w:cstheme="majorBidi"/>
          <w:b/>
          <w:bCs/>
          <w:sz w:val="28"/>
          <w:szCs w:val="28"/>
        </w:rPr>
        <w:t>References: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Hoelzer D and Gökbuget N. Acute lymphoblastic leukemia in adults. In: Degos L, Linch D C and Löwenberg B, editors.</w:t>
      </w:r>
      <w:r w:rsidRPr="00423507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Textbook of Malignant Hematology. 2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</w:rPr>
        <w:t>nd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. ed. Abingdon: Taylor &amp; Francis Group; 2005. P. 832.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Wartenberg D, Groves F D, Adelman A S. Acute Lymphoblastic Leukemia: Epidemiology and Etiology. In: E. H. Estey, S. H. Faderl and H. M. Kantarjian, editors. Hematologic Malignancies: Acute Leukemias. New York: Springer </w:t>
      </w:r>
      <w:r w:rsidRPr="00423507">
        <w:rPr>
          <w:rFonts w:ascii="MS Mincho" w:eastAsia="MS Mincho" w:hAnsi="MS Mincho" w:cs="MS Mincho"/>
          <w:color w:val="000000" w:themeColor="text1"/>
          <w:sz w:val="28"/>
          <w:szCs w:val="28"/>
        </w:rPr>
        <w:t> 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Berlin Heidelberg; 2008. P. 77, 78, 82, 83, 88, 124, 125.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Pui C H. Acute Lymphoblastic Leukemia. In: Lichtman M A, Beutler E, </w:t>
      </w:r>
    </w:p>
    <w:p w:rsidR="00300E05" w:rsidRPr="00423507" w:rsidRDefault="00300E05" w:rsidP="00300E05">
      <w:pPr>
        <w:pStyle w:val="a3"/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Seligsohn U, Kaushansky K, Kipps TH, editors. Williams Hematology. 8th ed. New York: The McGraw-Hill Companies; 2011. P 1321-1342.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Wetzler M, Mrozek K and Bloomfield C D. Molecular Biology, Pathology and Cytogenetics of Acute Lymphoblastic Leukemia. In: Sekeres M A, Kalaycio M E and Bolwell</w:t>
      </w:r>
      <w:r w:rsidRPr="00423507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B J, editors. Clinical Malignant Hematology. 1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</w:rPr>
        <w:t>st</w:t>
      </w: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. ed. Cleveland: McGraw-Hill Companies; 2007. P. 111.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Aziz S A, Sharma S K, Sabah I and Jan M A. Prognostic significance of cell surface phenotype in acute lymphoblastic leukemia. South Asian J Cancer. 2015 Apr-Jun; 4(2): 91–94.</w:t>
      </w:r>
      <w:r w:rsidRPr="00423507">
        <w:rPr>
          <w:rFonts w:ascii="MS Mincho" w:eastAsia="MS Mincho" w:hAnsi="MS Mincho" w:cs="MS Mincho"/>
          <w:color w:val="000000" w:themeColor="text1"/>
          <w:sz w:val="28"/>
          <w:szCs w:val="28"/>
        </w:rPr>
        <w:t> </w:t>
      </w:r>
      <w:r w:rsidRPr="00423507">
        <w:rPr>
          <w:rFonts w:asciiTheme="majorBidi" w:eastAsia="MS Mincho" w:hAnsiTheme="majorBidi" w:cstheme="majorBidi"/>
          <w:color w:val="000000" w:themeColor="text1"/>
          <w:sz w:val="28"/>
          <w:szCs w:val="28"/>
        </w:rPr>
        <w:t xml:space="preserve"> </w:t>
      </w:r>
      <w:r w:rsidRPr="00423507">
        <w:rPr>
          <w:rFonts w:ascii="MS Mincho" w:eastAsia="MS Mincho" w:hAnsi="MS Mincho" w:cs="MS Mincho"/>
          <w:color w:val="000000" w:themeColor="text1"/>
          <w:sz w:val="28"/>
          <w:szCs w:val="28"/>
        </w:rPr>
        <w:t> </w:t>
      </w:r>
    </w:p>
    <w:p w:rsidR="00300E05" w:rsidRPr="00423507" w:rsidRDefault="00300E05" w:rsidP="00300E05">
      <w:pPr>
        <w:pStyle w:val="a3"/>
        <w:numPr>
          <w:ilvl w:val="0"/>
          <w:numId w:val="2"/>
        </w:numPr>
        <w:spacing w:line="360" w:lineRule="auto"/>
        <w:ind w:left="36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3507">
        <w:rPr>
          <w:rFonts w:asciiTheme="majorBidi" w:hAnsiTheme="majorBidi" w:cstheme="majorBidi"/>
          <w:color w:val="000000" w:themeColor="text1"/>
          <w:sz w:val="28"/>
          <w:szCs w:val="28"/>
        </w:rPr>
        <w:t>Béné MC, Nebe T, Bettelheim P, et al. Immunophenotyping of acute leukemia and lymphoproliferative disorders: a consensus proposal of the European LeukemiaNet Work Package 10. Leukemia. 2011;25:567–574.</w:t>
      </w:r>
    </w:p>
    <w:p w:rsidR="00300E05" w:rsidRPr="00101BA2" w:rsidRDefault="00300E05" w:rsidP="00300E05">
      <w:pPr>
        <w:spacing w:line="360" w:lineRule="auto"/>
        <w:jc w:val="both"/>
        <w:rPr>
          <w:rFonts w:asciiTheme="majorBidi" w:hAnsiTheme="majorBidi" w:cstheme="majorBidi"/>
          <w:color w:val="FF0000"/>
          <w:sz w:val="28"/>
          <w:szCs w:val="28"/>
        </w:rPr>
      </w:pPr>
    </w:p>
    <w:p w:rsidR="00300E05" w:rsidRPr="004E4CC1" w:rsidRDefault="00300E05" w:rsidP="00300E05">
      <w:pPr>
        <w:pStyle w:val="a3"/>
        <w:spacing w:line="360" w:lineRule="auto"/>
        <w:jc w:val="both"/>
        <w:rPr>
          <w:rFonts w:asciiTheme="majorBidi" w:hAnsiTheme="majorBidi" w:cstheme="majorBidi"/>
          <w:color w:val="FF0000"/>
          <w:sz w:val="28"/>
          <w:szCs w:val="28"/>
        </w:rPr>
      </w:pPr>
    </w:p>
    <w:p w:rsidR="00300E05" w:rsidRPr="00031959" w:rsidRDefault="00300E05" w:rsidP="00300E05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300E05" w:rsidRPr="008F5E34" w:rsidRDefault="00300E05" w:rsidP="008F5E34">
      <w:pPr>
        <w:spacing w:line="360" w:lineRule="auto"/>
        <w:jc w:val="both"/>
        <w:rPr>
          <w:rFonts w:asciiTheme="majorBidi" w:hAnsiTheme="majorBidi" w:cstheme="majorBidi"/>
        </w:rPr>
      </w:pPr>
    </w:p>
    <w:sectPr w:rsidR="00300E05" w:rsidRPr="008F5E34" w:rsidSect="009E3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6E70"/>
    <w:multiLevelType w:val="hybridMultilevel"/>
    <w:tmpl w:val="B01A649C"/>
    <w:lvl w:ilvl="0" w:tplc="49B62800">
      <w:start w:val="1"/>
      <w:numFmt w:val="decimal"/>
      <w:lvlText w:val="%1.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164E0"/>
    <w:multiLevelType w:val="hybridMultilevel"/>
    <w:tmpl w:val="CBC85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F5E34"/>
    <w:rsid w:val="00137C53"/>
    <w:rsid w:val="00300E05"/>
    <w:rsid w:val="008F5E34"/>
    <w:rsid w:val="009E3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 emad</dc:creator>
  <cp:keywords/>
  <dc:description/>
  <cp:lastModifiedBy>Dr.Faris</cp:lastModifiedBy>
  <cp:revision>3</cp:revision>
  <dcterms:created xsi:type="dcterms:W3CDTF">2016-10-05T20:21:00Z</dcterms:created>
  <dcterms:modified xsi:type="dcterms:W3CDTF">2017-07-21T22:30:00Z</dcterms:modified>
</cp:coreProperties>
</file>