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0199" w:rsidRPr="00772359" w:rsidRDefault="00A70199" w:rsidP="00A70199">
      <w:pPr>
        <w:spacing w:line="360" w:lineRule="auto"/>
        <w:jc w:val="center"/>
        <w:rPr>
          <w:rFonts w:asciiTheme="majorBidi" w:eastAsia="Times New Roman" w:hAnsiTheme="majorBidi" w:cstheme="majorBidi"/>
          <w:b/>
          <w:bCs/>
          <w:sz w:val="30"/>
          <w:szCs w:val="30"/>
        </w:rPr>
      </w:pPr>
      <w:r w:rsidRPr="00772359">
        <w:rPr>
          <w:rFonts w:asciiTheme="majorBidi" w:eastAsia="Times New Roman" w:hAnsiTheme="majorBidi" w:cstheme="majorBidi"/>
          <w:b/>
          <w:bCs/>
          <w:sz w:val="30"/>
          <w:szCs w:val="30"/>
        </w:rPr>
        <w:t>A Mini-review of Liquid Biopsy and</w:t>
      </w:r>
      <w:r>
        <w:rPr>
          <w:rFonts w:asciiTheme="majorBidi" w:eastAsia="Times New Roman" w:hAnsiTheme="majorBidi" w:cstheme="majorBidi"/>
          <w:b/>
          <w:bCs/>
          <w:sz w:val="30"/>
          <w:szCs w:val="30"/>
        </w:rPr>
        <w:t xml:space="preserve"> </w:t>
      </w:r>
      <w:r w:rsidRPr="00772359">
        <w:rPr>
          <w:rFonts w:asciiTheme="majorBidi" w:eastAsia="Times New Roman" w:hAnsiTheme="majorBidi" w:cstheme="majorBidi"/>
          <w:b/>
          <w:bCs/>
          <w:sz w:val="30"/>
          <w:szCs w:val="30"/>
        </w:rPr>
        <w:t>Modern Thyroid Cancer Researches</w:t>
      </w:r>
    </w:p>
    <w:p w:rsidR="00A70199" w:rsidRDefault="00A70199" w:rsidP="00A70199">
      <w:pPr>
        <w:shd w:val="clear" w:color="auto" w:fill="FFFFFF"/>
        <w:spacing w:line="480" w:lineRule="auto"/>
        <w:jc w:val="both"/>
        <w:rPr>
          <w:rFonts w:asciiTheme="majorBidi" w:eastAsia="Times New Roman" w:hAnsiTheme="majorBidi" w:cstheme="majorBidi"/>
          <w:color w:val="000000"/>
          <w:sz w:val="24"/>
          <w:szCs w:val="24"/>
        </w:rPr>
        <w:sectPr w:rsidR="00A70199" w:rsidSect="00A70199">
          <w:headerReference w:type="default" r:id="rId7"/>
          <w:footerReference w:type="default" r:id="rId8"/>
          <w:type w:val="continuous"/>
          <w:pgSz w:w="11910" w:h="16840"/>
          <w:pgMar w:top="1740" w:right="600" w:bottom="840" w:left="620" w:header="720" w:footer="720" w:gutter="0"/>
          <w:cols w:space="138"/>
        </w:sectPr>
      </w:pPr>
    </w:p>
    <w:p w:rsidR="00A70199" w:rsidRPr="00772359" w:rsidRDefault="00A70199" w:rsidP="00A70199">
      <w:pPr>
        <w:shd w:val="clear" w:color="auto" w:fill="FFFFFF"/>
        <w:spacing w:line="480" w:lineRule="auto"/>
        <w:jc w:val="both"/>
        <w:rPr>
          <w:rFonts w:asciiTheme="majorBidi" w:eastAsia="Times New Roman" w:hAnsiTheme="majorBidi" w:cstheme="majorBidi"/>
          <w:color w:val="000000"/>
          <w:sz w:val="24"/>
          <w:szCs w:val="24"/>
        </w:rPr>
      </w:pPr>
      <w:r w:rsidRPr="00772359">
        <w:rPr>
          <w:rFonts w:asciiTheme="majorBidi" w:eastAsia="Times New Roman" w:hAnsiTheme="majorBidi" w:cstheme="majorBidi"/>
          <w:color w:val="000000"/>
          <w:sz w:val="24"/>
          <w:szCs w:val="24"/>
        </w:rPr>
        <w:lastRenderedPageBreak/>
        <w:t>Fatemeh Khatami</w:t>
      </w:r>
      <w:r w:rsidRPr="00772359">
        <w:rPr>
          <w:rFonts w:asciiTheme="majorBidi" w:eastAsia="Times New Roman" w:hAnsiTheme="majorBidi" w:cstheme="majorBidi"/>
          <w:color w:val="000000"/>
          <w:sz w:val="24"/>
          <w:szCs w:val="24"/>
          <w:vertAlign w:val="superscript"/>
        </w:rPr>
        <w:t>1</w:t>
      </w:r>
      <w:r w:rsidRPr="00772359">
        <w:rPr>
          <w:rFonts w:asciiTheme="majorBidi" w:eastAsia="Times New Roman" w:hAnsiTheme="majorBidi" w:cstheme="majorBidi"/>
          <w:color w:val="000000"/>
          <w:sz w:val="24"/>
          <w:szCs w:val="24"/>
        </w:rPr>
        <w:t>, Seyed Mohammad Tavangar</w:t>
      </w:r>
      <w:r w:rsidRPr="00772359">
        <w:rPr>
          <w:rFonts w:asciiTheme="majorBidi" w:eastAsia="Times New Roman" w:hAnsiTheme="majorBidi" w:cstheme="majorBidi"/>
          <w:color w:val="000000"/>
          <w:sz w:val="24"/>
          <w:szCs w:val="24"/>
          <w:vertAlign w:val="superscript"/>
        </w:rPr>
        <w:t>2</w:t>
      </w:r>
    </w:p>
    <w:p w:rsidR="00A70199" w:rsidRPr="00772359" w:rsidRDefault="00A70199" w:rsidP="00A70199">
      <w:pPr>
        <w:shd w:val="clear" w:color="auto" w:fill="FFFFFF"/>
        <w:rPr>
          <w:rFonts w:asciiTheme="majorBidi" w:hAnsiTheme="majorBidi" w:cstheme="majorBidi"/>
          <w:i/>
          <w:iCs/>
          <w:sz w:val="16"/>
          <w:szCs w:val="16"/>
        </w:rPr>
      </w:pPr>
      <w:r w:rsidRPr="00772359">
        <w:rPr>
          <w:rFonts w:asciiTheme="majorBidi" w:hAnsiTheme="majorBidi" w:cstheme="majorBidi"/>
          <w:i/>
          <w:iCs/>
          <w:sz w:val="16"/>
          <w:szCs w:val="16"/>
          <w:vertAlign w:val="superscript"/>
        </w:rPr>
        <w:t>1</w:t>
      </w:r>
      <w:r w:rsidRPr="00772359">
        <w:rPr>
          <w:rFonts w:asciiTheme="majorBidi" w:hAnsiTheme="majorBidi" w:cstheme="majorBidi"/>
          <w:i/>
          <w:iCs/>
          <w:sz w:val="16"/>
          <w:szCs w:val="16"/>
        </w:rPr>
        <w:t>Chronic Diseases Research Center, Endocrinology and Metabolism Population Sciences Institute, Tehran University of Medical Sciences, Tehran, Iran</w:t>
      </w:r>
    </w:p>
    <w:p w:rsidR="00A70199" w:rsidRPr="00772359" w:rsidRDefault="00A70199" w:rsidP="00A70199">
      <w:pPr>
        <w:shd w:val="clear" w:color="auto" w:fill="FFFFFF"/>
        <w:rPr>
          <w:rFonts w:asciiTheme="majorBidi" w:hAnsiTheme="majorBidi" w:cstheme="majorBidi"/>
          <w:i/>
          <w:iCs/>
          <w:sz w:val="16"/>
          <w:szCs w:val="16"/>
        </w:rPr>
      </w:pPr>
      <w:r w:rsidRPr="00772359">
        <w:rPr>
          <w:rFonts w:asciiTheme="majorBidi" w:hAnsiTheme="majorBidi" w:cstheme="majorBidi"/>
          <w:i/>
          <w:iCs/>
          <w:sz w:val="16"/>
          <w:szCs w:val="16"/>
          <w:vertAlign w:val="superscript"/>
        </w:rPr>
        <w:t>2</w:t>
      </w:r>
      <w:r w:rsidRPr="00772359">
        <w:rPr>
          <w:rFonts w:asciiTheme="majorBidi" w:hAnsiTheme="majorBidi" w:cstheme="majorBidi"/>
          <w:i/>
          <w:iCs/>
          <w:sz w:val="16"/>
          <w:szCs w:val="16"/>
        </w:rPr>
        <w:t>Departments of Pathology, Doctor Shariati Hospital, Tehran University of Medical Sciences</w:t>
      </w:r>
    </w:p>
    <w:p w:rsidR="00A70199" w:rsidRPr="00772359" w:rsidRDefault="00A70199" w:rsidP="00A70199">
      <w:pPr>
        <w:shd w:val="clear" w:color="auto" w:fill="FFFFFF"/>
        <w:rPr>
          <w:rFonts w:asciiTheme="majorBidi" w:hAnsiTheme="majorBidi" w:cstheme="majorBidi"/>
          <w:b/>
          <w:bCs/>
          <w:i/>
          <w:iCs/>
          <w:sz w:val="16"/>
          <w:szCs w:val="16"/>
        </w:rPr>
      </w:pPr>
    </w:p>
    <w:p w:rsidR="00A70199" w:rsidRDefault="00A70199" w:rsidP="00A70199">
      <w:pPr>
        <w:pStyle w:val="Heading2"/>
        <w:rPr>
          <w:rFonts w:asciiTheme="majorBidi" w:hAnsiTheme="majorBidi"/>
          <w:color w:val="000000" w:themeColor="text1"/>
        </w:rPr>
      </w:pPr>
    </w:p>
    <w:p w:rsidR="00A70199" w:rsidRDefault="00A70199" w:rsidP="00A70199">
      <w:pPr>
        <w:pStyle w:val="Heading2"/>
        <w:rPr>
          <w:rFonts w:asciiTheme="majorBidi" w:hAnsiTheme="majorBidi"/>
          <w:color w:val="000000" w:themeColor="text1"/>
        </w:rPr>
        <w:sectPr w:rsidR="00A70199" w:rsidSect="00A70199">
          <w:type w:val="continuous"/>
          <w:pgSz w:w="11910" w:h="16840"/>
          <w:pgMar w:top="1740" w:right="600" w:bottom="840" w:left="620" w:header="720" w:footer="720" w:gutter="0"/>
          <w:cols w:space="138"/>
        </w:sectPr>
      </w:pPr>
    </w:p>
    <w:p w:rsidR="00A70199" w:rsidRPr="00E5579A" w:rsidRDefault="00A70199" w:rsidP="00A70199">
      <w:pPr>
        <w:pStyle w:val="Heading2"/>
        <w:rPr>
          <w:rFonts w:asciiTheme="majorBidi" w:hAnsiTheme="majorBidi"/>
          <w:b/>
          <w:bCs/>
          <w:color w:val="000000" w:themeColor="text1"/>
        </w:rPr>
      </w:pPr>
      <w:r w:rsidRPr="00E5579A">
        <w:rPr>
          <w:rFonts w:asciiTheme="majorBidi" w:hAnsiTheme="majorBidi"/>
          <w:b/>
          <w:bCs/>
          <w:color w:val="000000" w:themeColor="text1"/>
        </w:rPr>
        <w:lastRenderedPageBreak/>
        <w:t>Abstract</w:t>
      </w:r>
    </w:p>
    <w:p w:rsidR="00E5579A" w:rsidRPr="00772359" w:rsidRDefault="00A70199" w:rsidP="00E5579A">
      <w:pPr>
        <w:pStyle w:val="p"/>
        <w:spacing w:line="360" w:lineRule="auto"/>
        <w:jc w:val="both"/>
      </w:pPr>
      <w:r w:rsidRPr="00772359">
        <w:t>Thyroid cancer is the most widespread malignancy of the endocrine system that over the past 3 decades has a vivid increasing rate. The prognosis and treatment of thyroid cancer depend on the tumor type and its stage at the time of diagnosis. Thyroid cancer is divided into four main types including PTC, FTC, MTC and ATC. The development of the noninvasive diagnostic tool “liquid biopsy” brings a new insight for cancer diagnosis and prognosis. Liquid biopsy mainly is containing circulating tumor DNA (ctDNA), circulating tumor cell (CTC) and exosomes. Liquid biopsy has the potential to accurately monitor tumor burden and treatment response in addition to reducing the need for tissue biopsy and allowing more rapid detection of relapse. This article summarizes the liquid biopsy components characteristics and their benefit in diagnosis and treatment of thyroid cancer.</w:t>
      </w:r>
      <w:r w:rsidR="00E5579A">
        <w:t xml:space="preserve"> </w:t>
      </w:r>
      <w:r w:rsidR="00E5579A" w:rsidRPr="00772359">
        <w:t xml:space="preserve">Taking everything into consideration now is the exact time to be focused on liquid biopsy for thyroid cancer </w:t>
      </w:r>
      <w:r w:rsidR="00E5579A" w:rsidRPr="00772359">
        <w:lastRenderedPageBreak/>
        <w:t>management. It is really important that liquid biopsy will improve the thyroid cancer diagnostic and prognostic strategies in the minimally non-invasive way.</w:t>
      </w:r>
    </w:p>
    <w:p w:rsidR="00E5579A" w:rsidRPr="00772359" w:rsidRDefault="00E5579A" w:rsidP="00A70199">
      <w:pPr>
        <w:pStyle w:val="p"/>
        <w:spacing w:line="360" w:lineRule="auto"/>
        <w:jc w:val="both"/>
      </w:pPr>
    </w:p>
    <w:p w:rsidR="00A70199" w:rsidRPr="00772359" w:rsidRDefault="00A70199" w:rsidP="00A70199">
      <w:pPr>
        <w:pStyle w:val="p"/>
        <w:spacing w:line="360" w:lineRule="auto"/>
        <w:jc w:val="both"/>
      </w:pPr>
    </w:p>
    <w:p w:rsidR="005973B9" w:rsidRDefault="005973B9" w:rsidP="005973B9">
      <w:pPr>
        <w:spacing w:line="204" w:lineRule="exact"/>
        <w:rPr>
          <w:rFonts w:ascii="Arial"/>
          <w:b/>
          <w:sz w:val="20"/>
        </w:rPr>
      </w:pPr>
      <w:r>
        <w:rPr>
          <w:rFonts w:ascii="Arial"/>
          <w:b/>
          <w:color w:val="BF5A14"/>
          <w:sz w:val="20"/>
        </w:rPr>
        <w:br/>
        <w:t>Recent Publications (minimum 5)</w:t>
      </w:r>
    </w:p>
    <w:p w:rsidR="00E5579A" w:rsidRDefault="00E5579A" w:rsidP="005973B9">
      <w:pPr>
        <w:pStyle w:val="ListParagraph"/>
        <w:numPr>
          <w:ilvl w:val="0"/>
          <w:numId w:val="3"/>
        </w:numPr>
        <w:tabs>
          <w:tab w:val="left" w:pos="384"/>
        </w:tabs>
        <w:spacing w:line="216" w:lineRule="exact"/>
        <w:ind w:right="137" w:hanging="283"/>
        <w:rPr>
          <w:sz w:val="18"/>
        </w:rPr>
      </w:pPr>
      <w:r>
        <w:rPr>
          <w:sz w:val="18"/>
        </w:rPr>
        <w:t xml:space="preserve">F Khatami and SM </w:t>
      </w:r>
      <w:r w:rsidR="004B1CF4">
        <w:rPr>
          <w:sz w:val="18"/>
        </w:rPr>
        <w:t xml:space="preserve">Tavangar. </w:t>
      </w:r>
      <w:r w:rsidRPr="00E5579A">
        <w:rPr>
          <w:sz w:val="18"/>
        </w:rPr>
        <w:t>The Potential of Circulating Tumor Cells in Personalized Management of Breast Cancer: A Systematic Review</w:t>
      </w:r>
      <w:r w:rsidR="004B1CF4">
        <w:rPr>
          <w:sz w:val="18"/>
        </w:rPr>
        <w:t xml:space="preserve">. </w:t>
      </w:r>
      <w:r w:rsidR="004B1CF4">
        <w:rPr>
          <w:b/>
          <w:bCs/>
          <w:sz w:val="15"/>
          <w:szCs w:val="15"/>
          <w:u w:val="single"/>
        </w:rPr>
        <w:t>Acta Medica Iranica</w:t>
      </w:r>
      <w:r w:rsidR="004B1CF4">
        <w:rPr>
          <w:b/>
          <w:bCs/>
          <w:sz w:val="15"/>
          <w:szCs w:val="15"/>
        </w:rPr>
        <w:t xml:space="preserve"> 2017. 55(3):175-193.</w:t>
      </w:r>
    </w:p>
    <w:p w:rsidR="00790FAC" w:rsidRDefault="00790FAC" w:rsidP="00790FAC">
      <w:pPr>
        <w:pStyle w:val="ListParagraph"/>
        <w:numPr>
          <w:ilvl w:val="0"/>
          <w:numId w:val="3"/>
        </w:numPr>
        <w:tabs>
          <w:tab w:val="left" w:pos="384"/>
        </w:tabs>
        <w:spacing w:line="216" w:lineRule="exact"/>
        <w:ind w:right="137" w:hanging="283"/>
        <w:rPr>
          <w:b/>
          <w:bCs/>
          <w:sz w:val="15"/>
          <w:szCs w:val="15"/>
          <w:u w:val="single"/>
        </w:rPr>
      </w:pPr>
      <w:r>
        <w:rPr>
          <w:sz w:val="18"/>
        </w:rPr>
        <w:t>F Khatami and SM Tavangar</w:t>
      </w:r>
      <w:r w:rsidRPr="00790FAC">
        <w:rPr>
          <w:sz w:val="18"/>
        </w:rPr>
        <w:t>. Circulating Tumor BRAF Mutation and Personalized Thyroid Cancer Treatment</w:t>
      </w:r>
      <w:r>
        <w:rPr>
          <w:sz w:val="18"/>
        </w:rPr>
        <w:t xml:space="preserve">. </w:t>
      </w:r>
      <w:hyperlink r:id="rId9" w:tooltip="Asian Pacific journal of cancer prevention : APJCP." w:history="1">
        <w:r w:rsidRPr="00790FAC">
          <w:rPr>
            <w:b/>
            <w:bCs/>
            <w:sz w:val="15"/>
            <w:szCs w:val="15"/>
          </w:rPr>
          <w:t>Asian Pac J Cancer Prev.</w:t>
        </w:r>
      </w:hyperlink>
      <w:r w:rsidRPr="00790FAC">
        <w:rPr>
          <w:b/>
          <w:bCs/>
          <w:sz w:val="15"/>
          <w:szCs w:val="15"/>
          <w:u w:val="single"/>
        </w:rPr>
        <w:t xml:space="preserve"> </w:t>
      </w:r>
      <w:r w:rsidRPr="00790FAC">
        <w:rPr>
          <w:b/>
          <w:bCs/>
          <w:sz w:val="15"/>
          <w:szCs w:val="15"/>
        </w:rPr>
        <w:t>2017 Feb 1;18(2):293-294.</w:t>
      </w:r>
    </w:p>
    <w:p w:rsidR="00790FAC" w:rsidRDefault="00790FAC" w:rsidP="00790FAC">
      <w:pPr>
        <w:pStyle w:val="ListParagraph"/>
        <w:numPr>
          <w:ilvl w:val="0"/>
          <w:numId w:val="3"/>
        </w:numPr>
        <w:tabs>
          <w:tab w:val="left" w:pos="384"/>
        </w:tabs>
        <w:spacing w:line="216" w:lineRule="exact"/>
        <w:ind w:right="137" w:hanging="283"/>
        <w:rPr>
          <w:b/>
          <w:bCs/>
          <w:sz w:val="15"/>
          <w:szCs w:val="15"/>
        </w:rPr>
      </w:pPr>
      <w:r w:rsidRPr="00790FAC">
        <w:rPr>
          <w:sz w:val="18"/>
        </w:rPr>
        <w:t>SM Tavangar. Splenic Hamartoma: Immunohistochemical Profile.</w:t>
      </w:r>
      <w:r w:rsidRPr="00790FAC">
        <w:rPr>
          <w:b/>
          <w:bCs/>
          <w:sz w:val="20"/>
          <w:szCs w:val="20"/>
          <w:u w:val="single"/>
        </w:rPr>
        <w:t xml:space="preserve"> </w:t>
      </w:r>
      <w:r w:rsidRPr="00790FAC">
        <w:rPr>
          <w:b/>
          <w:bCs/>
          <w:sz w:val="15"/>
          <w:szCs w:val="15"/>
        </w:rPr>
        <w:t xml:space="preserve">Acta Medica Iranica 2017. 55(1):77-78. </w:t>
      </w:r>
    </w:p>
    <w:p w:rsidR="00A65482" w:rsidRDefault="00A65482" w:rsidP="00A65482">
      <w:pPr>
        <w:pStyle w:val="ListParagraph"/>
        <w:numPr>
          <w:ilvl w:val="0"/>
          <w:numId w:val="3"/>
        </w:numPr>
        <w:tabs>
          <w:tab w:val="left" w:pos="384"/>
        </w:tabs>
        <w:spacing w:line="216" w:lineRule="exact"/>
        <w:ind w:right="137"/>
        <w:rPr>
          <w:b/>
          <w:bCs/>
          <w:sz w:val="15"/>
          <w:szCs w:val="15"/>
        </w:rPr>
      </w:pPr>
      <w:r w:rsidRPr="00A65482">
        <w:rPr>
          <w:sz w:val="18"/>
        </w:rPr>
        <w:t xml:space="preserve">SM Tavangar. Tissue-Engineered External Anal Sphincter Using Autologous Myogenic Satellite Cells and Extracellular Matrix: Functional and Histological Studies. </w:t>
      </w:r>
      <w:hyperlink r:id="rId10" w:tooltip="Annals of Biomedical Engineering" w:history="1">
        <w:r w:rsidRPr="00A65482">
          <w:rPr>
            <w:b/>
            <w:bCs/>
            <w:sz w:val="15"/>
            <w:szCs w:val="15"/>
          </w:rPr>
          <w:t>Annals of Biomedical Engineering</w:t>
        </w:r>
      </w:hyperlink>
      <w:r w:rsidRPr="00A65482">
        <w:rPr>
          <w:b/>
          <w:bCs/>
          <w:sz w:val="15"/>
          <w:szCs w:val="15"/>
        </w:rPr>
        <w:t xml:space="preserve">,  2016, Volume 44, </w:t>
      </w:r>
      <w:hyperlink r:id="rId11" w:tooltip="Issue 5" w:history="1">
        <w:r w:rsidRPr="00A65482">
          <w:rPr>
            <w:b/>
            <w:bCs/>
            <w:sz w:val="15"/>
            <w:szCs w:val="15"/>
          </w:rPr>
          <w:t>Issue 5</w:t>
        </w:r>
      </w:hyperlink>
      <w:r w:rsidRPr="00A65482">
        <w:rPr>
          <w:b/>
          <w:bCs/>
          <w:sz w:val="15"/>
          <w:szCs w:val="15"/>
        </w:rPr>
        <w:t>, pp 1773–1784</w:t>
      </w:r>
      <w:r>
        <w:rPr>
          <w:b/>
          <w:bCs/>
          <w:sz w:val="15"/>
          <w:szCs w:val="15"/>
        </w:rPr>
        <w:t>.</w:t>
      </w:r>
    </w:p>
    <w:p w:rsidR="00A65482" w:rsidRPr="0068027F" w:rsidRDefault="0068027F" w:rsidP="0068027F">
      <w:pPr>
        <w:pStyle w:val="ListParagraph"/>
        <w:numPr>
          <w:ilvl w:val="0"/>
          <w:numId w:val="3"/>
        </w:numPr>
        <w:tabs>
          <w:tab w:val="left" w:pos="384"/>
        </w:tabs>
        <w:spacing w:line="216" w:lineRule="exact"/>
        <w:ind w:right="137"/>
        <w:rPr>
          <w:b/>
          <w:bCs/>
          <w:sz w:val="15"/>
          <w:szCs w:val="15"/>
        </w:rPr>
      </w:pPr>
      <w:r>
        <w:rPr>
          <w:sz w:val="18"/>
        </w:rPr>
        <w:t xml:space="preserve"> SM Tavangar. </w:t>
      </w:r>
      <w:r w:rsidR="00A65482" w:rsidRPr="0068027F">
        <w:rPr>
          <w:sz w:val="18"/>
        </w:rPr>
        <w:t>Inhibition of breast tumor growth and abnormal angiogenesis in mice treated with endothelial cells and their progenitor mesenchymal stem cells derived from bone marrow</w:t>
      </w:r>
      <w:r>
        <w:rPr>
          <w:sz w:val="18"/>
        </w:rPr>
        <w:t xml:space="preserve">. </w:t>
      </w:r>
      <w:hyperlink r:id="rId12" w:tooltip="Neoplasma." w:history="1">
        <w:r w:rsidRPr="0068027F">
          <w:rPr>
            <w:b/>
            <w:bCs/>
            <w:sz w:val="15"/>
            <w:szCs w:val="15"/>
          </w:rPr>
          <w:t>Neoplasma.</w:t>
        </w:r>
      </w:hyperlink>
      <w:r w:rsidRPr="0068027F">
        <w:rPr>
          <w:b/>
          <w:bCs/>
          <w:sz w:val="15"/>
          <w:szCs w:val="15"/>
        </w:rPr>
        <w:t xml:space="preserve"> 2016;63(6):911-924</w:t>
      </w:r>
    </w:p>
    <w:p w:rsidR="00A65482" w:rsidRPr="00A65482" w:rsidRDefault="00A65482" w:rsidP="00A65482">
      <w:pPr>
        <w:tabs>
          <w:tab w:val="left" w:pos="384"/>
        </w:tabs>
        <w:spacing w:line="216" w:lineRule="exact"/>
        <w:ind w:right="137"/>
        <w:rPr>
          <w:rFonts w:ascii="Calibri" w:eastAsia="Calibri" w:hAnsi="Calibri" w:cs="Calibri"/>
          <w:b/>
          <w:bCs/>
          <w:sz w:val="15"/>
          <w:szCs w:val="15"/>
        </w:rPr>
      </w:pPr>
    </w:p>
    <w:p w:rsidR="00AE3E37" w:rsidRPr="0068027F" w:rsidRDefault="00AE3E37" w:rsidP="0068027F">
      <w:pPr>
        <w:pStyle w:val="ListParagraph"/>
        <w:numPr>
          <w:ilvl w:val="0"/>
          <w:numId w:val="3"/>
        </w:numPr>
        <w:tabs>
          <w:tab w:val="left" w:pos="384"/>
        </w:tabs>
        <w:spacing w:line="216" w:lineRule="exact"/>
        <w:ind w:right="137" w:hanging="283"/>
        <w:rPr>
          <w:sz w:val="18"/>
        </w:rPr>
        <w:sectPr w:rsidR="00AE3E37" w:rsidRPr="0068027F">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9F01C8" w:rsidRDefault="009F01C8" w:rsidP="004620DA">
      <w:pPr>
        <w:spacing w:before="100" w:beforeAutospacing="1"/>
        <w:ind w:right="288"/>
        <w:jc w:val="both"/>
        <w:rPr>
          <w:rFonts w:ascii="Times Roman" w:eastAsia="Calibri" w:hAnsi="Times Roman" w:cs="Times Roman"/>
          <w:color w:val="000000"/>
          <w:sz w:val="18"/>
          <w:szCs w:val="18"/>
        </w:rPr>
      </w:pPr>
      <w:r>
        <w:rPr>
          <w:rFonts w:ascii="Arial"/>
          <w:color w:val="BF5A14"/>
        </w:rPr>
        <w:t>Biograph</w:t>
      </w:r>
      <w:r w:rsidR="00A9710C">
        <w:rPr>
          <w:rFonts w:ascii="Arial"/>
          <w:color w:val="BF5A14"/>
        </w:rPr>
        <w:t>y</w:t>
      </w:r>
    </w:p>
    <w:p w:rsidR="009F01C8" w:rsidRDefault="009F01C8" w:rsidP="004620DA">
      <w:pPr>
        <w:spacing w:before="100" w:beforeAutospacing="1"/>
        <w:ind w:right="288"/>
        <w:jc w:val="both"/>
        <w:rPr>
          <w:rFonts w:ascii="Times Roman" w:eastAsia="Calibri" w:hAnsi="Times Roman" w:cs="Times Roman"/>
          <w:color w:val="000000"/>
          <w:sz w:val="18"/>
          <w:szCs w:val="18"/>
        </w:rPr>
      </w:pPr>
      <w:r>
        <w:rPr>
          <w:rFonts w:ascii="Times Roman" w:eastAsia="Calibri" w:hAnsi="Times Roman" w:cs="Times Roman"/>
          <w:color w:val="000000"/>
          <w:sz w:val="18"/>
          <w:szCs w:val="18"/>
        </w:rPr>
        <w:t xml:space="preserve">Professor Seyed Mohammad Tavangar finished a lot of projects related to endocrine cancers  (including thyroid) diagnosis successfully.   He is a head of </w:t>
      </w:r>
      <w:r w:rsidR="004620DA">
        <w:rPr>
          <w:rFonts w:ascii="Times Roman" w:eastAsia="Calibri" w:hAnsi="Times Roman" w:cs="Times Roman"/>
          <w:color w:val="000000"/>
          <w:sz w:val="18"/>
          <w:szCs w:val="18"/>
        </w:rPr>
        <w:t>pathology department</w:t>
      </w:r>
      <w:r>
        <w:rPr>
          <w:rFonts w:ascii="Times Roman" w:eastAsia="Calibri" w:hAnsi="Times Roman" w:cs="Times Roman"/>
          <w:color w:val="000000"/>
          <w:sz w:val="18"/>
          <w:szCs w:val="18"/>
        </w:rPr>
        <w:t xml:space="preserve"> of Dr. Shariati Hospital, Tehran University of Medical Sciences, Tehran</w:t>
      </w:r>
      <w:r w:rsidR="004620DA">
        <w:rPr>
          <w:rFonts w:ascii="Times Roman" w:eastAsia="Calibri" w:hAnsi="Times Roman" w:cs="Times Roman"/>
          <w:color w:val="000000"/>
          <w:sz w:val="18"/>
          <w:szCs w:val="18"/>
        </w:rPr>
        <w:t xml:space="preserve"> </w:t>
      </w:r>
      <w:r>
        <w:rPr>
          <w:rFonts w:ascii="Times Roman" w:eastAsia="Calibri" w:hAnsi="Times Roman" w:cs="Times Roman"/>
          <w:color w:val="000000"/>
          <w:sz w:val="18"/>
          <w:szCs w:val="18"/>
        </w:rPr>
        <w:t>. IRAN.     He has published three books, 22 Persian articles and 92 English articles over the last fifteen years.</w:t>
      </w:r>
      <w:r w:rsidR="004620DA">
        <w:rPr>
          <w:rFonts w:ascii="Times Roman" w:eastAsia="Calibri" w:hAnsi="Times Roman" w:cs="Times Roman"/>
          <w:color w:val="000000"/>
          <w:sz w:val="18"/>
          <w:szCs w:val="18"/>
        </w:rPr>
        <w:t xml:space="preserve"> </w:t>
      </w:r>
      <w:r>
        <w:rPr>
          <w:rFonts w:ascii="Times Roman" w:eastAsia="Calibri" w:hAnsi="Times Roman" w:cs="Times Roman"/>
          <w:color w:val="000000"/>
          <w:sz w:val="18"/>
          <w:szCs w:val="18"/>
        </w:rPr>
        <w:t xml:space="preserve">From his  perspective as an expert pathologist  if we want to keep pace with the latest diagnostic substances and methods in the world we have to start work on liquid biopsy (cfDNA) which  probably will take the place of tissue biopsy in the near future. He believes the molecular mechanism, genetic and epigenetic of thyroid cancers will open the new insight to its early diagnosis, prognosis and personalized treatment. </w:t>
      </w:r>
    </w:p>
    <w:p w:rsidR="00D13141" w:rsidRDefault="00D13141" w:rsidP="004620DA">
      <w:pPr>
        <w:spacing w:before="100" w:beforeAutospacing="1"/>
        <w:ind w:right="288"/>
        <w:jc w:val="both"/>
        <w:rPr>
          <w:rFonts w:ascii="Times Roman" w:eastAsia="Calibri" w:hAnsi="Times Roman" w:cs="Times Roman"/>
          <w:color w:val="000000"/>
          <w:sz w:val="18"/>
          <w:szCs w:val="18"/>
        </w:rPr>
      </w:pPr>
    </w:p>
    <w:p w:rsidR="00AE3E37" w:rsidRPr="00D13141" w:rsidRDefault="00D13141" w:rsidP="004620DA">
      <w:pPr>
        <w:pStyle w:val="BodyText"/>
        <w:spacing w:before="3"/>
        <w:jc w:val="both"/>
        <w:rPr>
          <w:rFonts w:ascii="Minion Pro" w:cstheme="minorBidi"/>
          <w:b/>
          <w:bCs/>
          <w:sz w:val="20"/>
          <w:szCs w:val="12"/>
          <w:lang w:bidi="fa-IR"/>
        </w:rPr>
      </w:pPr>
      <w:r w:rsidRPr="00D13141">
        <w:rPr>
          <w:rFonts w:ascii="Minion Pro" w:cstheme="minorBidi"/>
          <w:b/>
          <w:bCs/>
          <w:sz w:val="20"/>
          <w:szCs w:val="12"/>
          <w:lang w:bidi="fa-IR"/>
        </w:rPr>
        <w:t>Email : f-khatami@farabi.ums.ac.ir</w:t>
      </w:r>
    </w:p>
    <w:p w:rsidR="00D13141" w:rsidRDefault="00D13141" w:rsidP="004620DA">
      <w:pPr>
        <w:pStyle w:val="BodyText"/>
        <w:spacing w:before="3"/>
        <w:jc w:val="both"/>
        <w:rPr>
          <w:rFonts w:ascii="Minion Pro"/>
          <w:sz w:val="26"/>
        </w:rPr>
      </w:pPr>
    </w:p>
    <w:sectPr w:rsidR="00D13141" w:rsidSect="009F01C8">
      <w:type w:val="continuous"/>
      <w:pgSz w:w="11910" w:h="16840"/>
      <w:pgMar w:top="1740" w:right="580" w:bottom="840" w:left="620" w:header="720" w:footer="720" w:gutter="0"/>
      <w:cols w:space="13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45BEA" w:rsidRDefault="00445BEA">
      <w:r>
        <w:separator/>
      </w:r>
    </w:p>
  </w:endnote>
  <w:endnote w:type="continuationSeparator" w:id="1">
    <w:p w:rsidR="00445BEA" w:rsidRDefault="00445BE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Times Roman">
    <w:altName w:val="Times New Roman"/>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EF0C77">
    <w:pPr>
      <w:pStyle w:val="BodyText"/>
      <w:spacing w:line="14" w:lineRule="auto"/>
      <w:rPr>
        <w:sz w:val="20"/>
      </w:rPr>
    </w:pPr>
    <w:r w:rsidRPr="00EF0C77">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EF0C77">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EF0C77">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45BEA" w:rsidRDefault="00445BEA">
      <w:r>
        <w:separator/>
      </w:r>
    </w:p>
  </w:footnote>
  <w:footnote w:type="continuationSeparator" w:id="1">
    <w:p w:rsidR="00445BEA" w:rsidRDefault="00445BE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EF0C77">
    <w:pPr>
      <w:pStyle w:val="BodyText"/>
      <w:spacing w:line="14" w:lineRule="auto"/>
      <w:rPr>
        <w:sz w:val="20"/>
      </w:rPr>
    </w:pPr>
    <w:r w:rsidRPr="00EF0C77">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EF0C77">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284"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drawingGridHorizontalSpacing w:val="110"/>
  <w:displayHorizontalDrawingGridEvery w:val="2"/>
  <w:characterSpacingControl w:val="doNotCompress"/>
  <w:hdrShapeDefaults>
    <o:shapedefaults v:ext="edit" spidmax="5122"/>
    <o:shapelayout v:ext="edit">
      <o:idmap v:ext="edit" data="4"/>
    </o:shapelayout>
  </w:hdrShapeDefaults>
  <w:footnotePr>
    <w:footnote w:id="0"/>
    <w:footnote w:id="1"/>
  </w:footnotePr>
  <w:endnotePr>
    <w:endnote w:id="0"/>
    <w:endnote w:id="1"/>
  </w:endnotePr>
  <w:compat>
    <w:ulTrailSpace/>
  </w:compat>
  <w:rsids>
    <w:rsidRoot w:val="00AE3E37"/>
    <w:rsid w:val="000E2911"/>
    <w:rsid w:val="001263DF"/>
    <w:rsid w:val="002455EC"/>
    <w:rsid w:val="00292ED9"/>
    <w:rsid w:val="00404E5B"/>
    <w:rsid w:val="00414F7B"/>
    <w:rsid w:val="004355DC"/>
    <w:rsid w:val="00445BEA"/>
    <w:rsid w:val="004620DA"/>
    <w:rsid w:val="004749B4"/>
    <w:rsid w:val="00494130"/>
    <w:rsid w:val="004B1CF4"/>
    <w:rsid w:val="004F3523"/>
    <w:rsid w:val="00524857"/>
    <w:rsid w:val="005973B9"/>
    <w:rsid w:val="005B3A56"/>
    <w:rsid w:val="006060CE"/>
    <w:rsid w:val="0063497F"/>
    <w:rsid w:val="0068027F"/>
    <w:rsid w:val="00790FAC"/>
    <w:rsid w:val="00873DF0"/>
    <w:rsid w:val="008756E6"/>
    <w:rsid w:val="008A08B6"/>
    <w:rsid w:val="009B2D44"/>
    <w:rsid w:val="009F01C8"/>
    <w:rsid w:val="00A07E82"/>
    <w:rsid w:val="00A65482"/>
    <w:rsid w:val="00A70199"/>
    <w:rsid w:val="00A9710C"/>
    <w:rsid w:val="00AE3E37"/>
    <w:rsid w:val="00B21A57"/>
    <w:rsid w:val="00C33602"/>
    <w:rsid w:val="00CD6F55"/>
    <w:rsid w:val="00D13141"/>
    <w:rsid w:val="00DE3104"/>
    <w:rsid w:val="00E26B10"/>
    <w:rsid w:val="00E5579A"/>
    <w:rsid w:val="00EF0C77"/>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p">
    <w:name w:val="p"/>
    <w:basedOn w:val="Normal"/>
    <w:rsid w:val="00A70199"/>
    <w:pPr>
      <w:widowControl/>
      <w:spacing w:before="100" w:beforeAutospacing="1" w:after="100" w:afterAutospacing="1"/>
    </w:pPr>
    <w:rPr>
      <w:rFonts w:ascii="Times New Roman" w:eastAsia="Times New Roman" w:hAnsi="Times New Roman" w:cs="Times New Roman"/>
      <w:sz w:val="24"/>
      <w:szCs w:val="24"/>
    </w:rPr>
  </w:style>
  <w:style w:type="paragraph" w:customStyle="1" w:styleId="para">
    <w:name w:val="para"/>
    <w:basedOn w:val="Normal"/>
    <w:rsid w:val="00E5579A"/>
    <w:pPr>
      <w:widowControl/>
      <w:spacing w:before="100" w:beforeAutospacing="1" w:after="100" w:afterAutospacing="1"/>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A65482"/>
    <w:pPr>
      <w:widowControl/>
      <w:spacing w:before="100" w:beforeAutospacing="1" w:after="100" w:afterAutospacing="1"/>
    </w:pPr>
    <w:rPr>
      <w:rFonts w:ascii="Times New Roman" w:eastAsia="Times New Roman" w:hAnsi="Times New Roman" w:cs="Times New Roman"/>
      <w:sz w:val="24"/>
      <w:szCs w:val="24"/>
      <w:lang w:bidi="fa-IR"/>
    </w:rPr>
  </w:style>
  <w:style w:type="character" w:customStyle="1" w:styleId="journaltitle">
    <w:name w:val="journaltitle"/>
    <w:basedOn w:val="DefaultParagraphFont"/>
    <w:rsid w:val="00A65482"/>
  </w:style>
  <w:style w:type="paragraph" w:customStyle="1" w:styleId="icon--meta-keyline-before">
    <w:name w:val="icon--meta-keyline-before"/>
    <w:basedOn w:val="Normal"/>
    <w:rsid w:val="00A65482"/>
    <w:pPr>
      <w:widowControl/>
      <w:spacing w:before="100" w:beforeAutospacing="1" w:after="100" w:afterAutospacing="1"/>
    </w:pPr>
    <w:rPr>
      <w:rFonts w:ascii="Times New Roman" w:eastAsia="Times New Roman" w:hAnsi="Times New Roman" w:cs="Times New Roman"/>
      <w:sz w:val="24"/>
      <w:szCs w:val="24"/>
      <w:lang w:bidi="fa-IR"/>
    </w:rPr>
  </w:style>
  <w:style w:type="character" w:customStyle="1" w:styleId="articlecitationyear">
    <w:name w:val="articlecitation_year"/>
    <w:basedOn w:val="DefaultParagraphFont"/>
    <w:rsid w:val="00A65482"/>
  </w:style>
  <w:style w:type="character" w:customStyle="1" w:styleId="articlecitationvolume">
    <w:name w:val="articlecitation_volume"/>
    <w:basedOn w:val="DefaultParagraphFont"/>
    <w:rsid w:val="00A65482"/>
  </w:style>
  <w:style w:type="character" w:customStyle="1" w:styleId="articlecitationpages">
    <w:name w:val="articlecitation_pages"/>
    <w:basedOn w:val="DefaultParagraphFont"/>
    <w:rsid w:val="00A6548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598413397">
      <w:bodyDiv w:val="1"/>
      <w:marLeft w:val="0"/>
      <w:marRight w:val="0"/>
      <w:marTop w:val="0"/>
      <w:marBottom w:val="0"/>
      <w:divBdr>
        <w:top w:val="none" w:sz="0" w:space="0" w:color="auto"/>
        <w:left w:val="none" w:sz="0" w:space="0" w:color="auto"/>
        <w:bottom w:val="none" w:sz="0" w:space="0" w:color="auto"/>
        <w:right w:val="none" w:sz="0" w:space="0" w:color="auto"/>
      </w:divBdr>
      <w:divsChild>
        <w:div w:id="111021531">
          <w:marLeft w:val="0"/>
          <w:marRight w:val="0"/>
          <w:marTop w:val="0"/>
          <w:marBottom w:val="0"/>
          <w:divBdr>
            <w:top w:val="none" w:sz="0" w:space="0" w:color="auto"/>
            <w:left w:val="none" w:sz="0" w:space="0" w:color="auto"/>
            <w:bottom w:val="none" w:sz="0" w:space="0" w:color="auto"/>
            <w:right w:val="none" w:sz="0" w:space="0" w:color="auto"/>
          </w:divBdr>
        </w:div>
      </w:divsChild>
    </w:div>
    <w:div w:id="807010468">
      <w:bodyDiv w:val="1"/>
      <w:marLeft w:val="0"/>
      <w:marRight w:val="0"/>
      <w:marTop w:val="0"/>
      <w:marBottom w:val="0"/>
      <w:divBdr>
        <w:top w:val="none" w:sz="0" w:space="0" w:color="auto"/>
        <w:left w:val="none" w:sz="0" w:space="0" w:color="auto"/>
        <w:bottom w:val="none" w:sz="0" w:space="0" w:color="auto"/>
        <w:right w:val="none" w:sz="0" w:space="0" w:color="auto"/>
      </w:divBdr>
      <w:divsChild>
        <w:div w:id="848249592">
          <w:marLeft w:val="0"/>
          <w:marRight w:val="0"/>
          <w:marTop w:val="0"/>
          <w:marBottom w:val="0"/>
          <w:divBdr>
            <w:top w:val="none" w:sz="0" w:space="0" w:color="auto"/>
            <w:left w:val="none" w:sz="0" w:space="0" w:color="auto"/>
            <w:bottom w:val="none" w:sz="0" w:space="0" w:color="auto"/>
            <w:right w:val="none" w:sz="0" w:space="0" w:color="auto"/>
          </w:divBdr>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612392596">
      <w:bodyDiv w:val="1"/>
      <w:marLeft w:val="0"/>
      <w:marRight w:val="0"/>
      <w:marTop w:val="0"/>
      <w:marBottom w:val="0"/>
      <w:divBdr>
        <w:top w:val="none" w:sz="0" w:space="0" w:color="auto"/>
        <w:left w:val="none" w:sz="0" w:space="0" w:color="auto"/>
        <w:bottom w:val="none" w:sz="0" w:space="0" w:color="auto"/>
        <w:right w:val="none" w:sz="0" w:space="0" w:color="auto"/>
      </w:divBdr>
    </w:div>
    <w:div w:id="1719668908">
      <w:bodyDiv w:val="1"/>
      <w:marLeft w:val="0"/>
      <w:marRight w:val="0"/>
      <w:marTop w:val="0"/>
      <w:marBottom w:val="0"/>
      <w:divBdr>
        <w:top w:val="none" w:sz="0" w:space="0" w:color="auto"/>
        <w:left w:val="none" w:sz="0" w:space="0" w:color="auto"/>
        <w:bottom w:val="none" w:sz="0" w:space="0" w:color="auto"/>
        <w:right w:val="none" w:sz="0" w:space="0" w:color="auto"/>
      </w:divBdr>
      <w:divsChild>
        <w:div w:id="1736930041">
          <w:marLeft w:val="0"/>
          <w:marRight w:val="0"/>
          <w:marTop w:val="0"/>
          <w:marBottom w:val="0"/>
          <w:divBdr>
            <w:top w:val="none" w:sz="0" w:space="0" w:color="auto"/>
            <w:left w:val="none" w:sz="0" w:space="0" w:color="auto"/>
            <w:bottom w:val="none" w:sz="0" w:space="0" w:color="auto"/>
            <w:right w:val="none" w:sz="0" w:space="0" w:color="auto"/>
          </w:divBdr>
        </w:div>
      </w:divsChild>
    </w:div>
    <w:div w:id="1940596816">
      <w:bodyDiv w:val="1"/>
      <w:marLeft w:val="0"/>
      <w:marRight w:val="0"/>
      <w:marTop w:val="0"/>
      <w:marBottom w:val="0"/>
      <w:divBdr>
        <w:top w:val="none" w:sz="0" w:space="0" w:color="auto"/>
        <w:left w:val="none" w:sz="0" w:space="0" w:color="auto"/>
        <w:bottom w:val="none" w:sz="0" w:space="0" w:color="auto"/>
        <w:right w:val="none" w:sz="0" w:space="0" w:color="auto"/>
      </w:divBdr>
    </w:div>
    <w:div w:id="2054038642">
      <w:bodyDiv w:val="1"/>
      <w:marLeft w:val="0"/>
      <w:marRight w:val="0"/>
      <w:marTop w:val="0"/>
      <w:marBottom w:val="0"/>
      <w:divBdr>
        <w:top w:val="none" w:sz="0" w:space="0" w:color="auto"/>
        <w:left w:val="none" w:sz="0" w:space="0" w:color="auto"/>
        <w:bottom w:val="none" w:sz="0" w:space="0" w:color="auto"/>
        <w:right w:val="none" w:sz="0" w:space="0" w:color="auto"/>
      </w:divBdr>
    </w:div>
    <w:div w:id="2118866210">
      <w:bodyDiv w:val="1"/>
      <w:marLeft w:val="0"/>
      <w:marRight w:val="0"/>
      <w:marTop w:val="0"/>
      <w:marBottom w:val="0"/>
      <w:divBdr>
        <w:top w:val="none" w:sz="0" w:space="0" w:color="auto"/>
        <w:left w:val="none" w:sz="0" w:space="0" w:color="auto"/>
        <w:bottom w:val="none" w:sz="0" w:space="0" w:color="auto"/>
        <w:right w:val="none" w:sz="0" w:space="0" w:color="auto"/>
      </w:divBdr>
      <w:divsChild>
        <w:div w:id="1981642086">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s://www.ncbi.nlm.nih.gov/pubmed/2756532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ink.springer.com/journal/10439/44/5/page/1" TargetMode="External"/><Relationship Id="rId5" Type="http://schemas.openxmlformats.org/officeDocument/2006/relationships/footnotes" Target="footnotes.xml"/><Relationship Id="rId15" Type="http://schemas.microsoft.com/office/2007/relationships/stylesWithEffects" Target="stylesWithEffects.xml"/><Relationship Id="rId10" Type="http://schemas.openxmlformats.org/officeDocument/2006/relationships/hyperlink" Target="https://link.springer.com/journal/10439" TargetMode="External"/><Relationship Id="rId4" Type="http://schemas.openxmlformats.org/officeDocument/2006/relationships/webSettings" Target="webSettings.xml"/><Relationship Id="rId9" Type="http://schemas.openxmlformats.org/officeDocument/2006/relationships/hyperlink" Target="https://www.ncbi.nlm.nih.gov/pubmed/28345323"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1</Pages>
  <Words>540</Words>
  <Characters>3080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yahoo</cp:lastModifiedBy>
  <cp:revision>8</cp:revision>
  <dcterms:created xsi:type="dcterms:W3CDTF">2017-06-18T19:43:00Z</dcterms:created>
  <dcterms:modified xsi:type="dcterms:W3CDTF">2017-06-18T20:12:00Z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