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FD96B" w14:textId="77777777" w:rsidR="00601929" w:rsidRDefault="00601929" w:rsidP="00601929">
      <w:pPr>
        <w:spacing w:line="480" w:lineRule="auto"/>
        <w:jc w:val="center"/>
        <w:rPr>
          <w:rFonts w:ascii="Times New Roman" w:hAnsi="Times New Roman" w:cs="Times New Roman"/>
          <w:sz w:val="24"/>
          <w:szCs w:val="24"/>
        </w:rPr>
      </w:pPr>
      <w:r>
        <w:rPr>
          <w:rFonts w:ascii="Times New Roman" w:hAnsi="Times New Roman" w:cs="Times New Roman"/>
          <w:sz w:val="24"/>
          <w:szCs w:val="24"/>
        </w:rPr>
        <w:t>Abstract</w:t>
      </w:r>
    </w:p>
    <w:p w14:paraId="5F54BC0E" w14:textId="77777777" w:rsidR="00601929" w:rsidRDefault="00601929" w:rsidP="00601929">
      <w:pPr>
        <w:spacing w:line="480" w:lineRule="auto"/>
        <w:ind w:firstLine="720"/>
        <w:rPr>
          <w:rFonts w:ascii="Times New Roman" w:eastAsiaTheme="minorEastAsia" w:hAnsi="Times New Roman" w:cs="Times New Roman"/>
          <w:color w:val="000000"/>
          <w:sz w:val="24"/>
          <w:szCs w:val="24"/>
        </w:rPr>
      </w:pPr>
      <w:r>
        <w:rPr>
          <w:rFonts w:ascii="Times New Roman" w:hAnsi="Times New Roman" w:cs="Times New Roman"/>
          <w:sz w:val="24"/>
          <w:szCs w:val="24"/>
        </w:rPr>
        <w:t xml:space="preserve">Participation and autonomy are two of the vital treatment and rehabilitation outcomes for people with chronic illness and disability including people with cancer.  The purpose of this study is to investigate psychometric properties of Impact on Participation and Autonomy Scale (IPA) with a sample of cancer patients. Confirmatory factor analysis was used to analyze data collected from 186 cancer patients who completed the IPA, </w:t>
      </w:r>
      <w:r w:rsidRPr="004D559B">
        <w:rPr>
          <w:rFonts w:ascii="Times New Roman" w:eastAsia="Times New Roman" w:hAnsi="Times New Roman" w:cs="Times New Roman"/>
          <w:sz w:val="24"/>
          <w:szCs w:val="24"/>
          <w:lang w:eastAsia="ja-JP"/>
        </w:rPr>
        <w:t>Health Care Climate Questionnaire (HCCQ)</w:t>
      </w:r>
      <w:r>
        <w:rPr>
          <w:rFonts w:ascii="Times New Roman" w:eastAsia="Times New Roman" w:hAnsi="Times New Roman" w:cs="Times New Roman"/>
          <w:sz w:val="24"/>
          <w:szCs w:val="24"/>
          <w:lang w:eastAsia="ja-JP"/>
        </w:rPr>
        <w:t xml:space="preserve">, </w:t>
      </w:r>
      <w:r w:rsidRPr="00F339B3">
        <w:rPr>
          <w:rFonts w:ascii="Times New Roman" w:eastAsia="Times New Roman" w:hAnsi="Times New Roman" w:cs="Times New Roman"/>
          <w:sz w:val="24"/>
          <w:szCs w:val="24"/>
          <w:lang w:eastAsia="ja-JP"/>
        </w:rPr>
        <w:t>Satisfaction with Life scale</w:t>
      </w:r>
      <w:r w:rsidRPr="004D559B">
        <w:rPr>
          <w:rFonts w:ascii="Times New Roman" w:eastAsia="Times New Roman" w:hAnsi="Times New Roman" w:cs="Times New Roman"/>
          <w:i/>
          <w:iCs/>
          <w:sz w:val="24"/>
          <w:szCs w:val="24"/>
          <w:lang w:eastAsia="ja-JP"/>
        </w:rPr>
        <w:t xml:space="preserve"> </w:t>
      </w:r>
      <w:r w:rsidRPr="00F339B3">
        <w:rPr>
          <w:rFonts w:ascii="Times New Roman" w:eastAsia="Times New Roman" w:hAnsi="Times New Roman" w:cs="Times New Roman"/>
          <w:sz w:val="24"/>
          <w:szCs w:val="24"/>
          <w:lang w:eastAsia="ja-JP"/>
        </w:rPr>
        <w:t xml:space="preserve">(SWLS) </w:t>
      </w:r>
      <w:r w:rsidRPr="004D559B">
        <w:rPr>
          <w:rFonts w:ascii="Times New Roman" w:eastAsia="Times New Roman" w:hAnsi="Times New Roman" w:cs="Times New Roman"/>
          <w:sz w:val="24"/>
          <w:szCs w:val="24"/>
          <w:lang w:eastAsia="ja-JP"/>
        </w:rPr>
        <w:t>Scale</w:t>
      </w:r>
      <w:r>
        <w:rPr>
          <w:rFonts w:ascii="Times New Roman" w:eastAsia="Times New Roman" w:hAnsi="Times New Roman" w:cs="Times New Roman"/>
          <w:sz w:val="24"/>
          <w:szCs w:val="24"/>
          <w:lang w:eastAsia="ja-JP"/>
        </w:rPr>
        <w:t xml:space="preserve">, and role functioning subscale of the </w:t>
      </w:r>
      <w:r>
        <w:rPr>
          <w:rFonts w:ascii="Times New Roman" w:eastAsiaTheme="minorEastAsia" w:hAnsi="Times New Roman" w:cs="Times New Roman"/>
          <w:sz w:val="24"/>
          <w:szCs w:val="24"/>
          <w:lang w:eastAsia="ja-JP"/>
        </w:rPr>
        <w:t>Q</w:t>
      </w:r>
      <w:r w:rsidRPr="004D559B">
        <w:rPr>
          <w:rFonts w:ascii="Times New Roman" w:eastAsiaTheme="minorEastAsia" w:hAnsi="Times New Roman" w:cs="Times New Roman"/>
          <w:sz w:val="24"/>
          <w:szCs w:val="24"/>
          <w:lang w:eastAsia="ja-JP"/>
        </w:rPr>
        <w:t>uality-of-</w:t>
      </w:r>
      <w:r>
        <w:rPr>
          <w:rFonts w:ascii="Times New Roman" w:eastAsiaTheme="minorEastAsia" w:hAnsi="Times New Roman" w:cs="Times New Roman"/>
          <w:sz w:val="24"/>
          <w:szCs w:val="24"/>
          <w:lang w:eastAsia="ja-JP"/>
        </w:rPr>
        <w:t>L</w:t>
      </w:r>
      <w:r w:rsidRPr="004D559B">
        <w:rPr>
          <w:rFonts w:ascii="Times New Roman" w:eastAsiaTheme="minorEastAsia" w:hAnsi="Times New Roman" w:cs="Times New Roman"/>
          <w:sz w:val="24"/>
          <w:szCs w:val="24"/>
          <w:lang w:eastAsia="ja-JP"/>
        </w:rPr>
        <w:t xml:space="preserve">ife </w:t>
      </w:r>
      <w:r>
        <w:rPr>
          <w:rFonts w:ascii="Times New Roman" w:eastAsiaTheme="minorEastAsia" w:hAnsi="Times New Roman" w:cs="Times New Roman"/>
          <w:sz w:val="24"/>
          <w:szCs w:val="24"/>
          <w:lang w:eastAsia="ja-JP"/>
        </w:rPr>
        <w:t>Q</w:t>
      </w:r>
      <w:r w:rsidRPr="004D559B">
        <w:rPr>
          <w:rFonts w:ascii="Times New Roman" w:eastAsiaTheme="minorEastAsia" w:hAnsi="Times New Roman" w:cs="Times New Roman"/>
          <w:sz w:val="24"/>
          <w:szCs w:val="24"/>
          <w:lang w:eastAsia="ja-JP"/>
        </w:rPr>
        <w:t>uestionnaire (</w:t>
      </w:r>
      <w:r w:rsidRPr="004D559B">
        <w:rPr>
          <w:rFonts w:ascii="Times New Roman" w:eastAsia="Times New Roman" w:hAnsi="Times New Roman" w:cs="Times New Roman"/>
          <w:sz w:val="24"/>
          <w:szCs w:val="24"/>
          <w:lang w:eastAsia="ja-JP"/>
        </w:rPr>
        <w:t>EORTC QLQ-C30)</w:t>
      </w:r>
      <w:r>
        <w:rPr>
          <w:rFonts w:ascii="Times New Roman" w:eastAsia="Times New Roman" w:hAnsi="Times New Roman" w:cs="Times New Roman"/>
          <w:sz w:val="24"/>
          <w:szCs w:val="24"/>
          <w:lang w:eastAsia="ja-JP"/>
        </w:rPr>
        <w:t>. In contrary to original the five-factor solution, the results provided a better fit for a three-factor correlated model (</w:t>
      </w:r>
      <w:r>
        <w:rPr>
          <w:rFonts w:ascii="Times New Roman" w:eastAsia="Times New Roman" w:hAnsi="Times New Roman" w:cs="Times New Roman"/>
          <w:color w:val="000000"/>
          <w:sz w:val="24"/>
          <w:szCs w:val="24"/>
          <w:lang w:eastAsia="ja-JP"/>
        </w:rPr>
        <w:t xml:space="preserve">the three factors: ADL/IADL, social relations, and employment and education. </w:t>
      </w:r>
      <w:r>
        <w:rPr>
          <w:rFonts w:ascii="Times New Roman" w:eastAsiaTheme="minorEastAsia" w:hAnsi="Times New Roman" w:cs="Times New Roman"/>
          <w:color w:val="000000"/>
          <w:sz w:val="24"/>
          <w:szCs w:val="24"/>
        </w:rPr>
        <w:t xml:space="preserve">The IPA factors </w:t>
      </w:r>
      <w:r w:rsidRPr="002C4129">
        <w:rPr>
          <w:rFonts w:ascii="Times New Roman" w:eastAsiaTheme="minorEastAsia" w:hAnsi="Times New Roman" w:cs="Times New Roman"/>
          <w:color w:val="000000"/>
          <w:sz w:val="24"/>
          <w:szCs w:val="24"/>
        </w:rPr>
        <w:t xml:space="preserve">were </w:t>
      </w:r>
      <w:r>
        <w:rPr>
          <w:rFonts w:ascii="Times New Roman" w:eastAsiaTheme="minorEastAsia" w:hAnsi="Times New Roman" w:cs="Times New Roman"/>
          <w:color w:val="000000"/>
          <w:sz w:val="24"/>
          <w:szCs w:val="24"/>
        </w:rPr>
        <w:t xml:space="preserve">significantly </w:t>
      </w:r>
      <w:r w:rsidRPr="002C4129">
        <w:rPr>
          <w:rFonts w:ascii="Times New Roman" w:eastAsiaTheme="minorEastAsia" w:hAnsi="Times New Roman" w:cs="Times New Roman"/>
          <w:color w:val="000000"/>
          <w:sz w:val="24"/>
          <w:szCs w:val="24"/>
        </w:rPr>
        <w:t xml:space="preserve">associated with </w:t>
      </w:r>
      <w:r>
        <w:rPr>
          <w:rFonts w:ascii="Times New Roman" w:eastAsiaTheme="minorEastAsia" w:hAnsi="Times New Roman" w:cs="Times New Roman"/>
          <w:color w:val="000000"/>
          <w:sz w:val="24"/>
          <w:szCs w:val="24"/>
        </w:rPr>
        <w:t xml:space="preserve">supportive healthcare climate, role functioning, and life satisfaction </w:t>
      </w:r>
      <w:r w:rsidRPr="002C4129">
        <w:rPr>
          <w:rFonts w:ascii="Times New Roman" w:eastAsiaTheme="minorEastAsia" w:hAnsi="Times New Roman" w:cs="Times New Roman"/>
          <w:color w:val="000000"/>
          <w:sz w:val="24"/>
          <w:szCs w:val="24"/>
        </w:rPr>
        <w:t>in the theoretically expected directions</w:t>
      </w:r>
      <w:r>
        <w:rPr>
          <w:rFonts w:ascii="Times New Roman" w:eastAsiaTheme="minorEastAsia" w:hAnsi="Times New Roman" w:cs="Times New Roman"/>
          <w:color w:val="000000"/>
          <w:sz w:val="24"/>
          <w:szCs w:val="24"/>
        </w:rPr>
        <w:t xml:space="preserve"> providing support for the validity of the scale. Overall, The IPA is a psychometrically sound measure of participation and autonomy that </w:t>
      </w:r>
      <w:r w:rsidRPr="002C4129">
        <w:rPr>
          <w:rFonts w:ascii="Times New Roman" w:eastAsiaTheme="minorEastAsia" w:hAnsi="Times New Roman" w:cs="Times New Roman"/>
          <w:color w:val="000000"/>
          <w:sz w:val="24"/>
          <w:szCs w:val="24"/>
        </w:rPr>
        <w:t xml:space="preserve">can be </w:t>
      </w:r>
      <w:r>
        <w:rPr>
          <w:rFonts w:ascii="Times New Roman" w:eastAsiaTheme="minorEastAsia" w:hAnsi="Times New Roman" w:cs="Times New Roman"/>
          <w:color w:val="000000"/>
          <w:sz w:val="24"/>
          <w:szCs w:val="24"/>
        </w:rPr>
        <w:t>used</w:t>
      </w:r>
      <w:r w:rsidRPr="002C4129">
        <w:rPr>
          <w:rFonts w:ascii="Times New Roman" w:eastAsiaTheme="minorEastAsia" w:hAnsi="Times New Roman" w:cs="Times New Roman"/>
          <w:color w:val="000000"/>
          <w:sz w:val="24"/>
          <w:szCs w:val="24"/>
        </w:rPr>
        <w:t xml:space="preserve"> to assess</w:t>
      </w:r>
      <w:r>
        <w:rPr>
          <w:rFonts w:ascii="Times New Roman" w:eastAsiaTheme="minorEastAsia" w:hAnsi="Times New Roman" w:cs="Times New Roman"/>
          <w:color w:val="000000"/>
          <w:sz w:val="24"/>
          <w:szCs w:val="24"/>
        </w:rPr>
        <w:t xml:space="preserve"> cancer survivors’ levels of community participation for treatment planning and selection of evidence-based healthcare and psychosocial interventions for cancer survivors.</w:t>
      </w:r>
    </w:p>
    <w:p w14:paraId="50BF4B4A" w14:textId="77777777" w:rsidR="00601929" w:rsidRDefault="00601929" w:rsidP="00601929">
      <w:pPr>
        <w:spacing w:line="480" w:lineRule="auto"/>
        <w:rPr>
          <w:rFonts w:ascii="Times New Roman" w:hAnsi="Times New Roman" w:cs="Times New Roman"/>
          <w:sz w:val="24"/>
          <w:szCs w:val="24"/>
        </w:rPr>
      </w:pPr>
    </w:p>
    <w:p w14:paraId="55B8266E" w14:textId="77777777" w:rsidR="00601929" w:rsidRPr="002A019C" w:rsidRDefault="00601929" w:rsidP="00601929">
      <w:pPr>
        <w:spacing w:line="480" w:lineRule="auto"/>
        <w:ind w:firstLine="720"/>
        <w:rPr>
          <w:rFonts w:ascii="Times New Roman" w:hAnsi="Times New Roman" w:cs="Times New Roman"/>
          <w:sz w:val="24"/>
          <w:szCs w:val="24"/>
        </w:rPr>
      </w:pPr>
      <w:r w:rsidRPr="002A019C">
        <w:rPr>
          <w:rFonts w:ascii="Times New Roman" w:hAnsi="Times New Roman" w:cs="Times New Roman"/>
          <w:i/>
          <w:iCs/>
          <w:sz w:val="24"/>
          <w:szCs w:val="24"/>
        </w:rPr>
        <w:t>Keywords:</w:t>
      </w:r>
      <w:r>
        <w:rPr>
          <w:rFonts w:ascii="Times New Roman" w:hAnsi="Times New Roman" w:cs="Times New Roman"/>
          <w:sz w:val="24"/>
          <w:szCs w:val="24"/>
        </w:rPr>
        <w:t xml:space="preserve"> Rehabilitation, participation, autonomy, </w:t>
      </w:r>
      <w:proofErr w:type="gramStart"/>
      <w:r>
        <w:rPr>
          <w:rFonts w:ascii="Times New Roman" w:hAnsi="Times New Roman" w:cs="Times New Roman"/>
          <w:sz w:val="24"/>
          <w:szCs w:val="24"/>
        </w:rPr>
        <w:t>cancer,  and</w:t>
      </w:r>
      <w:proofErr w:type="gramEnd"/>
      <w:r>
        <w:rPr>
          <w:rFonts w:ascii="Times New Roman" w:hAnsi="Times New Roman" w:cs="Times New Roman"/>
          <w:sz w:val="24"/>
          <w:szCs w:val="24"/>
        </w:rPr>
        <w:t xml:space="preserve"> validity. </w:t>
      </w:r>
    </w:p>
    <w:p w14:paraId="006EC69D" w14:textId="77777777" w:rsidR="009772CD" w:rsidRDefault="009772CD"/>
    <w:sectPr w:rsidR="009772C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929"/>
    <w:rsid w:val="00601929"/>
    <w:rsid w:val="009772CD"/>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4:docId w14:val="2F8BCC98"/>
  <w15:chartTrackingRefBased/>
  <w15:docId w15:val="{43C8061C-B04D-5248-8176-FB683ABC6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929"/>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205</Words>
  <Characters>1171</Characters>
  <Application>Microsoft Office Word</Application>
  <DocSecurity>0</DocSecurity>
  <Lines>9</Lines>
  <Paragraphs>2</Paragraphs>
  <ScaleCrop>false</ScaleCrop>
  <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2022-05-19T20:11:00Z</dcterms:created>
  <dcterms:modified xsi:type="dcterms:W3CDTF">2022-05-19T20:11:00Z</dcterms:modified>
</cp:coreProperties>
</file>