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widowControl w:val="0"/>
        <w:bidi w:val="0"/>
        <w:spacing w:after="0" w:line="360" w:lineRule="auto"/>
        <w:ind w:left="0" w:right="0" w:firstLine="0"/>
        <w:jc w:val="right"/>
        <w:rPr>
          <w:rFonts w:ascii="Times New Roman" w:cs="Times New Roman" w:hAnsi="Times New Roman" w:eastAsia="Times New Roman"/>
          <w:b w:val="1"/>
          <w:bCs w:val="1"/>
          <w:color w:val="000000"/>
          <w:spacing w:val="3"/>
          <w:kern w:val="2"/>
          <w:sz w:val="22"/>
          <w:szCs w:val="22"/>
          <w:u w:color="000000"/>
          <w:rtl w:val="0"/>
        </w:rPr>
      </w:pPr>
      <w:r>
        <w:rPr>
          <w:rFonts w:ascii="Times New Roman" w:hAnsi="Times New Roman"/>
          <w:sz w:val="22"/>
          <w:szCs w:val="22"/>
          <w:vertAlign w:val="superscript"/>
          <w:rtl w:val="0"/>
          <w:lang w:val="en-US"/>
        </w:rPr>
        <w:t>1</w:t>
      </w:r>
      <w:r>
        <w:rPr>
          <w:rFonts w:ascii="Times New Roman" w:hAnsi="Times New Roman"/>
          <w:b w:val="1"/>
          <w:bCs w:val="1"/>
          <w:color w:val="000000"/>
          <w:spacing w:val="3"/>
          <w:kern w:val="2"/>
          <w:sz w:val="22"/>
          <w:szCs w:val="22"/>
          <w:u w:val="single" w:color="000000"/>
          <w:rtl w:val="0"/>
          <w:lang w:val="en-US"/>
        </w:rPr>
        <w:t>Hojouj Mohammad I M</w:t>
      </w:r>
      <w:r>
        <w:rPr>
          <w:rFonts w:ascii="Times New Roman" w:hAnsi="Times New Roman"/>
          <w:b w:val="1"/>
          <w:bCs w:val="1"/>
          <w:color w:val="000000"/>
          <w:spacing w:val="3"/>
          <w:kern w:val="2"/>
          <w:sz w:val="22"/>
          <w:szCs w:val="22"/>
          <w:u w:color="000000"/>
          <w:rtl w:val="0"/>
          <w:lang w:val="en-US"/>
        </w:rPr>
        <w:t xml:space="preserve">, </w:t>
      </w:r>
      <w:r>
        <w:rPr>
          <w:rFonts w:ascii="Times New Roman" w:hAnsi="Times New Roman"/>
          <w:sz w:val="20"/>
          <w:szCs w:val="20"/>
          <w:vertAlign w:val="superscript"/>
          <w:rtl w:val="0"/>
          <w:lang w:val="en-US"/>
        </w:rPr>
        <w:t>1</w:t>
      </w:r>
      <w:r>
        <w:rPr>
          <w:rFonts w:ascii="Times New Roman" w:hAnsi="Times New Roman"/>
          <w:color w:val="000000"/>
          <w:spacing w:val="3"/>
          <w:kern w:val="2"/>
          <w:sz w:val="22"/>
          <w:szCs w:val="22"/>
          <w:u w:color="000000"/>
          <w:rtl w:val="0"/>
          <w:lang w:val="en-US"/>
        </w:rPr>
        <w:t>I. N. Bondarenko</w:t>
      </w:r>
      <w:r>
        <w:rPr>
          <w:rFonts w:ascii="Times New Roman" w:hAnsi="Times New Roman"/>
          <w:b w:val="1"/>
          <w:bCs w:val="1"/>
          <w:color w:val="000000"/>
          <w:spacing w:val="3"/>
          <w:kern w:val="2"/>
          <w:sz w:val="22"/>
          <w:szCs w:val="22"/>
          <w:u w:color="000000"/>
          <w:rtl w:val="0"/>
          <w:lang w:val="en-US"/>
        </w:rPr>
        <w:t>,V</w:t>
      </w:r>
      <w:r>
        <w:rPr>
          <w:rFonts w:ascii="Times New Roman" w:hAnsi="Times New Roman"/>
          <w:b w:val="1"/>
          <w:bCs w:val="1"/>
          <w:color w:val="000000"/>
          <w:spacing w:val="3"/>
          <w:kern w:val="2"/>
          <w:sz w:val="22"/>
          <w:szCs w:val="22"/>
          <w:u w:color="000000"/>
          <w:rtl w:val="0"/>
          <w:lang w:val="en-US"/>
        </w:rPr>
        <w:t xml:space="preserve"> </w:t>
      </w:r>
      <w:r>
        <w:rPr>
          <w:rFonts w:ascii="Times New Roman" w:hAnsi="Times New Roman"/>
          <w:b w:val="1"/>
          <w:bCs w:val="1"/>
          <w:color w:val="000000"/>
          <w:spacing w:val="3"/>
          <w:kern w:val="2"/>
          <w:sz w:val="22"/>
          <w:szCs w:val="22"/>
          <w:u w:color="000000"/>
          <w:rtl w:val="0"/>
          <w:lang w:val="en-US"/>
        </w:rPr>
        <w:t>Zavizion</w:t>
      </w:r>
      <w:r>
        <w:rPr>
          <w:rFonts w:ascii="Times New Roman" w:hAnsi="Times New Roman"/>
          <w:sz w:val="20"/>
          <w:szCs w:val="20"/>
          <w:vertAlign w:val="superscript"/>
          <w:rtl w:val="0"/>
          <w:lang w:val="en-US"/>
        </w:rPr>
        <w:t>1</w:t>
      </w:r>
      <w:r>
        <w:rPr>
          <w:rFonts w:ascii="Times New Roman" w:hAnsi="Times New Roman"/>
          <w:b w:val="1"/>
          <w:bCs w:val="1"/>
          <w:color w:val="000000"/>
          <w:spacing w:val="3"/>
          <w:kern w:val="2"/>
          <w:sz w:val="22"/>
          <w:szCs w:val="22"/>
          <w:u w:color="000000"/>
          <w:rtl w:val="0"/>
          <w:lang w:val="en-US"/>
        </w:rPr>
        <w:t>,Maltsova L</w:t>
      </w:r>
      <w:r>
        <w:rPr>
          <w:rFonts w:ascii="Times New Roman" w:hAnsi="Times New Roman"/>
          <w:sz w:val="20"/>
          <w:szCs w:val="20"/>
          <w:vertAlign w:val="superscript"/>
          <w:rtl w:val="0"/>
          <w:lang w:val="en-US"/>
        </w:rPr>
        <w:t>1</w:t>
      </w:r>
      <w:r>
        <w:rPr>
          <w:rFonts w:ascii="Times New Roman" w:hAnsi="Times New Roman"/>
          <w:b w:val="1"/>
          <w:bCs w:val="1"/>
          <w:color w:val="000000"/>
          <w:spacing w:val="3"/>
          <w:kern w:val="2"/>
          <w:sz w:val="22"/>
          <w:szCs w:val="22"/>
          <w:u w:color="000000"/>
          <w:rtl w:val="0"/>
          <w:lang w:val="en-US"/>
        </w:rPr>
        <w:t>,Hojouj T</w:t>
      </w:r>
      <w:r>
        <w:rPr>
          <w:rFonts w:ascii="Times New Roman" w:cs="Times New Roman" w:hAnsi="Times New Roman" w:eastAsia="Times New Roman"/>
          <w:b w:val="1"/>
          <w:bCs w:val="1"/>
          <w:color w:val="000000"/>
          <w:spacing w:val="3"/>
          <w:kern w:val="2"/>
          <w:sz w:val="22"/>
          <w:szCs w:val="22"/>
          <w:u w:color="000000"/>
          <w:rtl w:val="0"/>
        </w:rPr>
        <w:drawing>
          <wp:anchor distT="152400" distB="152400" distL="152400" distR="152400" simplePos="0" relativeHeight="251659264" behindDoc="0" locked="0" layoutInCell="1" allowOverlap="1">
            <wp:simplePos x="0" y="0"/>
            <wp:positionH relativeFrom="margin">
              <wp:posOffset>-476249</wp:posOffset>
            </wp:positionH>
            <wp:positionV relativeFrom="line">
              <wp:posOffset>347750</wp:posOffset>
            </wp:positionV>
            <wp:extent cx="939800" cy="111760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Снимок экрана 2017-11-23 в 23.54.00.png"/>
                    <pic:cNvPicPr>
                      <a:picLocks noChangeAspect="1"/>
                    </pic:cNvPicPr>
                  </pic:nvPicPr>
                  <pic:blipFill>
                    <a:blip r:embed="rId4">
                      <a:extLst/>
                    </a:blip>
                    <a:stretch>
                      <a:fillRect/>
                    </a:stretch>
                  </pic:blipFill>
                  <pic:spPr>
                    <a:xfrm>
                      <a:off x="0" y="0"/>
                      <a:ext cx="939800" cy="1117600"/>
                    </a:xfrm>
                    <a:prstGeom prst="rect">
                      <a:avLst/>
                    </a:prstGeom>
                    <a:ln w="12700" cap="flat">
                      <a:noFill/>
                      <a:miter lim="400000"/>
                    </a:ln>
                    <a:effectLst/>
                  </pic:spPr>
                </pic:pic>
              </a:graphicData>
            </a:graphic>
          </wp:anchor>
        </w:drawing>
      </w:r>
    </w:p>
    <w:p>
      <w:pPr>
        <w:pStyle w:val="Normal.0"/>
        <w:widowControl w:val="0"/>
        <w:bidi w:val="1"/>
        <w:spacing w:after="0" w:line="360" w:lineRule="auto"/>
        <w:ind w:left="0" w:right="0" w:firstLine="0"/>
        <w:jc w:val="left"/>
        <w:rPr>
          <w:rFonts w:ascii="Times New Roman" w:cs="Times New Roman" w:hAnsi="Times New Roman" w:eastAsia="Times New Roman"/>
          <w:b w:val="1"/>
          <w:bCs w:val="1"/>
          <w:sz w:val="36"/>
          <w:szCs w:val="36"/>
          <w:rtl w:val="1"/>
        </w:rPr>
      </w:pPr>
      <w:r>
        <w:rPr>
          <w:rFonts w:ascii="Times New Roman" w:hAnsi="Times New Roman"/>
          <w:b w:val="1"/>
          <w:bCs w:val="1"/>
          <w:rtl w:val="0"/>
          <w:lang w:val="en-US"/>
        </w:rPr>
        <w:t>BMI AND MORPHOLOGICAL CHARACTERISTICS TRIPLE-NEGATIVE BREAST CANCER</w:t>
      </w:r>
    </w:p>
    <w:p>
      <w:pPr>
        <w:pStyle w:val="Normal.0"/>
        <w:bidi w:val="0"/>
        <w:spacing w:after="0" w:line="240" w:lineRule="auto"/>
        <w:ind w:left="0" w:right="0" w:firstLine="0"/>
        <w:jc w:val="right"/>
        <w:rPr>
          <w:rFonts w:ascii="Helvetica" w:cs="Helvetica" w:hAnsi="Helvetica" w:eastAsia="Helvetica"/>
          <w:rtl w:val="0"/>
        </w:rPr>
      </w:pPr>
      <w:r>
        <w:rPr>
          <w:rFonts w:ascii="Times New Roman" w:hAnsi="Times New Roman"/>
          <w:vertAlign w:val="superscript"/>
          <w:rtl w:val="0"/>
          <w:lang w:val="en-US"/>
        </w:rPr>
        <w:t>1</w:t>
      </w:r>
      <w:r>
        <w:rPr>
          <w:rFonts w:ascii="Times New Roman" w:hAnsi="Times New Roman"/>
          <w:i w:val="1"/>
          <w:iCs w:val="1"/>
          <w:rtl w:val="0"/>
          <w:lang w:val="en-US"/>
        </w:rPr>
        <w:t>SE "Dnipropetrovsk medical academy of Health Ministry of Ukraine"</w:t>
      </w:r>
    </w:p>
    <w:p>
      <w:pPr>
        <w:pStyle w:val="Normal.0"/>
        <w:bidi w:val="0"/>
        <w:spacing w:after="0" w:line="240" w:lineRule="auto"/>
        <w:ind w:left="0" w:right="0" w:firstLine="0"/>
        <w:jc w:val="right"/>
        <w:rPr>
          <w:rFonts w:ascii="Helvetica" w:cs="Helvetica" w:hAnsi="Helvetica" w:eastAsia="Helvetica"/>
          <w:rtl w:val="0"/>
        </w:rPr>
      </w:pPr>
      <w:r>
        <w:rPr>
          <w:rFonts w:ascii="Times New Roman" w:hAnsi="Times New Roman"/>
          <w:i w:val="1"/>
          <w:iCs w:val="1"/>
          <w:rtl w:val="0"/>
          <w:lang w:val="en-US"/>
        </w:rPr>
        <w:t>Department of oncology and medical radiology</w:t>
      </w:r>
    </w:p>
    <w:p>
      <w:pPr>
        <w:pStyle w:val="Normal.0"/>
        <w:bidi w:val="0"/>
        <w:spacing w:after="0" w:line="240" w:lineRule="auto"/>
        <w:ind w:left="0" w:right="0" w:firstLine="0"/>
        <w:jc w:val="right"/>
        <w:rPr>
          <w:rFonts w:ascii="Times New Roman" w:cs="Times New Roman" w:hAnsi="Times New Roman" w:eastAsia="Times New Roman"/>
          <w:i w:val="1"/>
          <w:iCs w:val="1"/>
          <w:rtl w:val="0"/>
        </w:rPr>
      </w:pPr>
      <w:r>
        <w:rPr>
          <w:rFonts w:ascii="Times New Roman" w:hAnsi="Times New Roman"/>
          <w:i w:val="1"/>
          <w:iCs w:val="1"/>
          <w:rtl w:val="0"/>
          <w:lang w:val="en-US"/>
        </w:rPr>
        <w:t>Volodymyr Vernadskii str., 9, Dnipro, 49044, Ukraine</w:t>
      </w:r>
    </w:p>
    <w:p>
      <w:pPr>
        <w:pStyle w:val="Heading 4"/>
        <w:bidi w:val="0"/>
        <w:spacing w:after="0" w:line="240" w:lineRule="auto"/>
        <w:ind w:left="0" w:right="0" w:firstLine="0"/>
        <w:jc w:val="right"/>
        <w:rPr>
          <w:rFonts w:ascii="Times New Roman" w:cs="Times New Roman" w:hAnsi="Times New Roman" w:eastAsia="Times New Roman"/>
          <w:b w:val="1"/>
          <w:bCs w:val="1"/>
          <w:color w:val="000000"/>
          <w:sz w:val="24"/>
          <w:szCs w:val="24"/>
          <w:rtl w:val="0"/>
        </w:rPr>
      </w:pPr>
      <w:r>
        <w:rPr>
          <w:rFonts w:ascii="Times New Roman" w:hAnsi="Times New Roman"/>
          <w:b w:val="0"/>
          <w:bCs w:val="0"/>
          <w:sz w:val="22"/>
          <w:szCs w:val="22"/>
          <w:rtl w:val="0"/>
          <w:lang w:val="ru-RU"/>
        </w:rPr>
        <w:t xml:space="preserve"> </w:t>
      </w:r>
      <w:r>
        <w:rPr>
          <w:rFonts w:ascii="Times New Roman" w:hAnsi="Times New Roman"/>
          <w:b w:val="0"/>
          <w:bCs w:val="0"/>
          <w:sz w:val="22"/>
          <w:szCs w:val="22"/>
          <w:rtl w:val="0"/>
          <w:lang w:val="en-US"/>
        </w:rPr>
        <w:t xml:space="preserve">                                                                                 </w:t>
      </w:r>
      <w:r>
        <w:rPr>
          <w:rFonts w:ascii="Helvetica" w:hAnsi="Helvetica"/>
          <w:b w:val="1"/>
          <w:bCs w:val="1"/>
          <w:i w:val="1"/>
          <w:iCs w:val="1"/>
          <w:sz w:val="22"/>
          <w:szCs w:val="22"/>
          <w:rtl w:val="0"/>
          <w:lang w:val="fr-FR"/>
        </w:rPr>
        <w:t>Hojouj@yahoo.com</w:t>
      </w:r>
    </w:p>
    <w:p>
      <w:pPr>
        <w:pStyle w:val="По умолчанию"/>
        <w:bidi w:val="0"/>
        <w:spacing w:after="240" w:line="200" w:lineRule="atLeast"/>
        <w:ind w:left="0" w:right="0" w:firstLine="0"/>
        <w:jc w:val="left"/>
        <w:rPr>
          <w:rFonts w:ascii="Times" w:cs="Times" w:hAnsi="Times" w:eastAsia="Times"/>
          <w:color w:val="000000"/>
          <w:sz w:val="24"/>
          <w:szCs w:val="24"/>
          <w:rtl w:val="0"/>
        </w:rPr>
      </w:pPr>
    </w:p>
    <w:p>
      <w:pPr>
        <w:pStyle w:val="По умолчанию"/>
        <w:bidi w:val="0"/>
        <w:spacing w:after="240" w:line="160" w:lineRule="atLeast"/>
        <w:ind w:left="0" w:right="0" w:firstLine="0"/>
        <w:jc w:val="left"/>
        <w:rPr>
          <w:rFonts w:ascii="Times" w:cs="Times" w:hAnsi="Times" w:eastAsia="Times"/>
          <w:color w:val="000000"/>
          <w:sz w:val="24"/>
          <w:szCs w:val="24"/>
          <w:rtl w:val="0"/>
        </w:rPr>
      </w:pPr>
    </w:p>
    <w:p>
      <w:pPr>
        <w:pStyle w:val="По умолчанию"/>
        <w:bidi w:val="0"/>
        <w:spacing w:after="240" w:line="200" w:lineRule="atLeast"/>
        <w:ind w:left="0" w:right="0" w:firstLine="0"/>
        <w:jc w:val="both"/>
        <w:rPr>
          <w:rFonts w:ascii="Times New Roman" w:cs="Times New Roman" w:hAnsi="Times New Roman" w:eastAsia="Times New Roman"/>
          <w:color w:val="221f1f"/>
          <w:sz w:val="25"/>
          <w:szCs w:val="25"/>
          <w:rtl w:val="0"/>
        </w:rPr>
      </w:pPr>
      <w:r>
        <w:rPr>
          <w:rFonts w:ascii="Times New Roman" w:hAnsi="Times New Roman"/>
          <w:color w:val="221f1f"/>
          <w:sz w:val="25"/>
          <w:szCs w:val="25"/>
          <w:rtl w:val="0"/>
          <w:lang w:val="en-US"/>
        </w:rPr>
        <w:t>Background: The aim of this retrospective analysis was to investigate the morphological features of triple-negative breast cancer (TNBC) patients with different body mass index (BMI). The incidence of breast cancer in the world in general and in Ukraine in particular is growing. In 2017, in Ukraine the incidence reached 16 percent of female population.</w:t>
      </w:r>
    </w:p>
    <w:p>
      <w:pPr>
        <w:pStyle w:val="Normal.0"/>
        <w:bidi w:val="0"/>
        <w:spacing w:after="0" w:line="240" w:lineRule="auto"/>
        <w:ind w:left="0" w:right="0" w:firstLine="720"/>
        <w:jc w:val="both"/>
        <w:rPr>
          <w:rFonts w:ascii="Times New Roman" w:cs="Times New Roman" w:hAnsi="Times New Roman" w:eastAsia="Times New Roman"/>
          <w:sz w:val="25"/>
          <w:szCs w:val="25"/>
          <w:rtl w:val="0"/>
        </w:rPr>
      </w:pPr>
      <w:r>
        <w:rPr>
          <w:rFonts w:ascii="Times New Roman" w:hAnsi="Times New Roman"/>
          <w:sz w:val="25"/>
          <w:szCs w:val="25"/>
          <w:rtl w:val="0"/>
          <w:lang w:val="en-US"/>
        </w:rPr>
        <w:t>According to the Ministry of Health in Ukraine 26% of the female population for 2017 was overweight or obese. There is a strong biologic basis for an association of obesity with poor breast cancer outcomes. Obesity - a chronic metabolic character, which is the result of the interaction of the endogenous factors, environmental conditions and lifestyle. Endogenous factors could be considered a violation of the genetic and hormonal balance. The external conditions include irregular rhythm nutrition, use of substandard products. By disorders include sedentary lifestyles.</w:t>
      </w:r>
    </w:p>
    <w:p>
      <w:pPr>
        <w:pStyle w:val="Normal.0"/>
        <w:bidi w:val="0"/>
        <w:spacing w:after="0" w:line="240" w:lineRule="auto"/>
        <w:ind w:left="0" w:right="0" w:firstLine="720"/>
        <w:jc w:val="both"/>
        <w:rPr>
          <w:rFonts w:ascii="Times New Roman" w:cs="Times New Roman" w:hAnsi="Times New Roman" w:eastAsia="Times New Roman"/>
          <w:sz w:val="25"/>
          <w:szCs w:val="25"/>
          <w:rtl w:val="0"/>
        </w:rPr>
      </w:pPr>
      <w:r>
        <w:rPr>
          <w:rFonts w:ascii="Times New Roman" w:hAnsi="Times New Roman"/>
          <w:sz w:val="25"/>
          <w:szCs w:val="25"/>
          <w:rtl w:val="0"/>
          <w:lang w:val="en-US"/>
        </w:rPr>
        <w:t>Obesity is the first risk factor for metabolic syndrome, diabetes type II, cardiovascular diseases and some forms of cancer, including breast cancer.</w:t>
      </w:r>
    </w:p>
    <w:p>
      <w:pPr>
        <w:pStyle w:val="Normal.0"/>
        <w:bidi w:val="0"/>
        <w:spacing w:after="0" w:line="240" w:lineRule="auto"/>
        <w:ind w:left="0" w:right="0" w:firstLine="720"/>
        <w:jc w:val="both"/>
        <w:rPr>
          <w:rFonts w:ascii="Times New Roman" w:cs="Times New Roman" w:hAnsi="Times New Roman" w:eastAsia="Times New Roman"/>
          <w:sz w:val="25"/>
          <w:szCs w:val="25"/>
          <w:rtl w:val="0"/>
        </w:rPr>
      </w:pPr>
      <w:r>
        <w:rPr>
          <w:rFonts w:ascii="Times New Roman" w:hAnsi="Times New Roman"/>
          <w:sz w:val="25"/>
          <w:szCs w:val="25"/>
          <w:rtl w:val="0"/>
          <w:lang w:val="en-US"/>
        </w:rPr>
        <w:t>Since overweight is a risk factor for breast cancer, there is a reason to believe that among patients with breast cancer the percentage of obese women is higher than in the population. The risk of breast cancer in postmenopausal women by 30% more than in premenopausal, women with obesity - 50%. Furthermore it was proven that obesity is associated with poor prognosis in patients with breast cancer, regardless of menopausal status.</w:t>
      </w:r>
    </w:p>
    <w:p>
      <w:pPr>
        <w:pStyle w:val="По умолчанию"/>
        <w:bidi w:val="0"/>
        <w:spacing w:after="240" w:line="200" w:lineRule="atLeast"/>
        <w:ind w:left="0" w:right="0" w:firstLine="0"/>
        <w:jc w:val="left"/>
        <w:rPr>
          <w:rFonts w:ascii="Times New Roman" w:cs="Times New Roman" w:hAnsi="Times New Roman" w:eastAsia="Times New Roman"/>
          <w:color w:val="000000"/>
          <w:sz w:val="25"/>
          <w:szCs w:val="25"/>
          <w:rtl w:val="0"/>
        </w:rPr>
      </w:pPr>
    </w:p>
    <w:p>
      <w:pPr>
        <w:pStyle w:val="По умолчанию"/>
        <w:bidi w:val="0"/>
        <w:spacing w:after="240" w:line="200" w:lineRule="atLeast"/>
        <w:ind w:left="0" w:right="0" w:firstLine="0"/>
        <w:jc w:val="left"/>
        <w:rPr>
          <w:rFonts w:ascii="Times New Roman" w:cs="Times New Roman" w:hAnsi="Times New Roman" w:eastAsia="Times New Roman"/>
          <w:color w:val="000000"/>
          <w:sz w:val="25"/>
          <w:szCs w:val="25"/>
          <w:rtl w:val="0"/>
        </w:rPr>
      </w:pPr>
      <w:r>
        <w:rPr>
          <w:rFonts w:ascii="Times New Roman" w:hAnsi="Times New Roman"/>
          <w:color w:val="221f1f"/>
          <w:sz w:val="25"/>
          <w:szCs w:val="25"/>
          <w:rtl w:val="0"/>
          <w:lang w:val="en-US"/>
        </w:rPr>
        <w:t xml:space="preserve">Patients and methods: The study included </w:t>
      </w:r>
      <w:r>
        <w:rPr>
          <w:rFonts w:ascii="Times New Roman" w:hAnsi="Times New Roman"/>
          <w:color w:val="221f1f"/>
          <w:sz w:val="25"/>
          <w:szCs w:val="25"/>
          <w:rtl w:val="0"/>
          <w:lang w:val="en-US"/>
        </w:rPr>
        <w:t>90</w:t>
      </w:r>
      <w:r>
        <w:rPr>
          <w:rFonts w:ascii="Times New Roman" w:hAnsi="Times New Roman"/>
          <w:color w:val="221f1f"/>
          <w:sz w:val="25"/>
          <w:szCs w:val="25"/>
          <w:rtl w:val="0"/>
          <w:lang w:val="en-US"/>
        </w:rPr>
        <w:t xml:space="preserve"> patients with TNBC aged 25 to 7</w:t>
      </w:r>
      <w:r>
        <w:rPr>
          <w:rFonts w:ascii="Times New Roman" w:hAnsi="Times New Roman"/>
          <w:color w:val="221f1f"/>
          <w:sz w:val="25"/>
          <w:szCs w:val="25"/>
          <w:rtl w:val="0"/>
          <w:lang w:val="en-US"/>
        </w:rPr>
        <w:t>7</w:t>
      </w:r>
      <w:r>
        <w:rPr>
          <w:rFonts w:ascii="Times New Roman" w:hAnsi="Times New Roman"/>
          <w:color w:val="221f1f"/>
          <w:sz w:val="25"/>
          <w:szCs w:val="25"/>
          <w:rtl w:val="0"/>
        </w:rPr>
        <w:t xml:space="preserve"> (54.6 </w:t>
      </w:r>
      <w:r>
        <w:rPr>
          <w:rFonts w:ascii="Times New Roman" w:hAnsi="Times New Roman" w:hint="default"/>
          <w:color w:val="221f1f"/>
          <w:sz w:val="25"/>
          <w:szCs w:val="25"/>
          <w:rtl w:val="0"/>
        </w:rPr>
        <w:t xml:space="preserve">± </w:t>
      </w:r>
      <w:r>
        <w:rPr>
          <w:rFonts w:ascii="Times New Roman" w:hAnsi="Times New Roman"/>
          <w:color w:val="221f1f"/>
          <w:sz w:val="25"/>
          <w:szCs w:val="25"/>
          <w:rtl w:val="0"/>
          <w:lang w:val="en-US"/>
        </w:rPr>
        <w:t xml:space="preserve">1) years old, who sought medical care in clinic of oncology </w:t>
      </w:r>
      <w:r>
        <w:rPr>
          <w:rFonts w:ascii="Times New Roman" w:hAnsi="Times New Roman"/>
          <w:color w:val="000000"/>
          <w:sz w:val="25"/>
          <w:szCs w:val="25"/>
          <w:u w:color="000000"/>
          <w:rtl w:val="0"/>
          <w:lang w:val="en-US"/>
        </w:rPr>
        <w:t>years of age who were treated according to our clinic, department of oncology and medical radiology . Dnipropetrovsk medical academy at Municipal Institution "Dnipropetrovsk City Multi-field Clinical Hospital #4", Dnepropetrovsk state medical academy from 20</w:t>
      </w:r>
      <w:r>
        <w:rPr>
          <w:rFonts w:ascii="Times New Roman" w:hAnsi="Times New Roman"/>
          <w:color w:val="000000"/>
          <w:sz w:val="25"/>
          <w:szCs w:val="25"/>
          <w:u w:color="000000"/>
          <w:rtl w:val="0"/>
          <w:lang w:val="en-US"/>
        </w:rPr>
        <w:t>15</w:t>
      </w:r>
      <w:r>
        <w:rPr>
          <w:rFonts w:ascii="Times New Roman" w:hAnsi="Times New Roman"/>
          <w:color w:val="000000"/>
          <w:sz w:val="25"/>
          <w:szCs w:val="25"/>
          <w:u w:color="000000"/>
          <w:rtl w:val="0"/>
        </w:rPr>
        <w:t>-201</w:t>
      </w:r>
      <w:r>
        <w:rPr>
          <w:rFonts w:ascii="Times New Roman" w:hAnsi="Times New Roman"/>
          <w:color w:val="000000"/>
          <w:sz w:val="25"/>
          <w:szCs w:val="25"/>
          <w:u w:color="000000"/>
          <w:rtl w:val="0"/>
          <w:lang w:val="en-US"/>
        </w:rPr>
        <w:t>7</w:t>
      </w:r>
      <w:r>
        <w:rPr>
          <w:rFonts w:ascii="Times New Roman" w:hAnsi="Times New Roman"/>
          <w:color w:val="000000"/>
          <w:sz w:val="25"/>
          <w:szCs w:val="25"/>
          <w:u w:color="000000"/>
          <w:rtl w:val="0"/>
          <w:lang w:val="en-US"/>
        </w:rPr>
        <w:t>. All patients were evaluated according to the following data: stage of the disease, age and BMI at the time of diagnosis, the size, histological type and metastases. IHC type ,MRI methods, Bioelectrical impedance analysis, Ultrasounds analysis</w:t>
      </w:r>
      <w:r>
        <w:rPr>
          <w:rFonts w:ascii="Times New Roman" w:hAnsi="Times New Roman"/>
          <w:color w:val="221f1f"/>
          <w:sz w:val="25"/>
          <w:szCs w:val="25"/>
          <w:rtl w:val="0"/>
          <w:lang w:val="en-US"/>
        </w:rPr>
        <w:t xml:space="preserve">. A morphological characteristics of TNBC was evaluated in relation to BMI. </w:t>
      </w:r>
    </w:p>
    <w:p>
      <w:pPr>
        <w:pStyle w:val="По умолчанию"/>
        <w:bidi w:val="0"/>
        <w:spacing w:after="240" w:line="200" w:lineRule="atLeast"/>
        <w:ind w:left="0" w:right="0" w:firstLine="0"/>
        <w:jc w:val="left"/>
        <w:rPr>
          <w:rFonts w:ascii="Times New Roman" w:cs="Times New Roman" w:hAnsi="Times New Roman" w:eastAsia="Times New Roman"/>
          <w:color w:val="221f1f"/>
          <w:sz w:val="25"/>
          <w:szCs w:val="25"/>
          <w:rtl w:val="0"/>
        </w:rPr>
      </w:pPr>
      <w:r>
        <w:rPr>
          <w:rFonts w:ascii="Times New Roman" w:hAnsi="Times New Roman"/>
          <w:color w:val="221f1f"/>
          <w:sz w:val="25"/>
          <w:szCs w:val="25"/>
          <w:rtl w:val="0"/>
          <w:lang w:val="en-US"/>
        </w:rPr>
        <w:t xml:space="preserve">Results: According to WHO criteria women with TNBC were divided into the 3 groups: group 1 </w:t>
      </w:r>
      <w:r>
        <w:rPr>
          <w:rFonts w:ascii="Times New Roman" w:hAnsi="Times New Roman" w:hint="default"/>
          <w:color w:val="221f1f"/>
          <w:sz w:val="25"/>
          <w:szCs w:val="25"/>
          <w:rtl w:val="0"/>
        </w:rPr>
        <w:t xml:space="preserve">– </w:t>
      </w:r>
      <w:r>
        <w:rPr>
          <w:rFonts w:ascii="Times New Roman" w:hAnsi="Times New Roman"/>
          <w:color w:val="221f1f"/>
          <w:sz w:val="25"/>
          <w:szCs w:val="25"/>
          <w:rtl w:val="0"/>
        </w:rPr>
        <w:t>2</w:t>
      </w:r>
      <w:r>
        <w:rPr>
          <w:rFonts w:ascii="Times New Roman" w:hAnsi="Times New Roman"/>
          <w:color w:val="221f1f"/>
          <w:sz w:val="25"/>
          <w:szCs w:val="25"/>
          <w:rtl w:val="0"/>
          <w:lang w:val="en-US"/>
        </w:rPr>
        <w:t>1</w:t>
      </w:r>
      <w:r>
        <w:rPr>
          <w:rFonts w:ascii="Times New Roman" w:hAnsi="Times New Roman"/>
          <w:color w:val="221f1f"/>
          <w:sz w:val="25"/>
          <w:szCs w:val="25"/>
          <w:rtl w:val="0"/>
          <w:lang w:val="en-US"/>
        </w:rPr>
        <w:t>patients (24%) were normal/underweight (BMI &lt;25 kg/m</w:t>
      </w:r>
      <w:r>
        <w:rPr>
          <w:rFonts w:ascii="Times New Roman" w:hAnsi="Times New Roman"/>
          <w:color w:val="221f1f"/>
          <w:position w:val="8"/>
          <w:sz w:val="25"/>
          <w:szCs w:val="25"/>
          <w:rtl w:val="0"/>
        </w:rPr>
        <w:t>2</w:t>
      </w:r>
      <w:r>
        <w:rPr>
          <w:rFonts w:ascii="Times New Roman" w:hAnsi="Times New Roman"/>
          <w:color w:val="221f1f"/>
          <w:sz w:val="25"/>
          <w:szCs w:val="25"/>
          <w:rtl w:val="0"/>
          <w:lang w:val="en-US"/>
        </w:rPr>
        <w:t xml:space="preserve">), group 2 </w:t>
      </w:r>
      <w:r>
        <w:rPr>
          <w:rFonts w:ascii="Times New Roman" w:hAnsi="Times New Roman" w:hint="default"/>
          <w:color w:val="221f1f"/>
          <w:sz w:val="25"/>
          <w:szCs w:val="25"/>
          <w:rtl w:val="0"/>
        </w:rPr>
        <w:t xml:space="preserve">– </w:t>
      </w:r>
      <w:r>
        <w:rPr>
          <w:rFonts w:ascii="Times New Roman" w:hAnsi="Times New Roman"/>
          <w:color w:val="221f1f"/>
          <w:sz w:val="25"/>
          <w:szCs w:val="25"/>
          <w:rtl w:val="0"/>
        </w:rPr>
        <w:t>4</w:t>
      </w:r>
      <w:r>
        <w:rPr>
          <w:rFonts w:ascii="Times New Roman" w:hAnsi="Times New Roman"/>
          <w:color w:val="221f1f"/>
          <w:sz w:val="25"/>
          <w:szCs w:val="25"/>
          <w:rtl w:val="0"/>
          <w:lang w:val="en-US"/>
        </w:rPr>
        <w:t>1</w:t>
      </w:r>
      <w:r>
        <w:rPr>
          <w:rFonts w:ascii="Times New Roman" w:hAnsi="Times New Roman"/>
          <w:color w:val="221f1f"/>
          <w:sz w:val="25"/>
          <w:szCs w:val="25"/>
          <w:rtl w:val="0"/>
          <w:lang w:val="en-US"/>
        </w:rPr>
        <w:t>patients (43%) were overweight (BMI from 25 to 29.9 kg/m</w:t>
      </w:r>
      <w:r>
        <w:rPr>
          <w:rFonts w:ascii="Times New Roman" w:hAnsi="Times New Roman"/>
          <w:color w:val="221f1f"/>
          <w:position w:val="8"/>
          <w:sz w:val="25"/>
          <w:szCs w:val="25"/>
          <w:rtl w:val="0"/>
        </w:rPr>
        <w:t>2</w:t>
      </w:r>
      <w:r>
        <w:rPr>
          <w:rFonts w:ascii="Times New Roman" w:hAnsi="Times New Roman"/>
          <w:color w:val="221f1f"/>
          <w:sz w:val="25"/>
          <w:szCs w:val="25"/>
          <w:rtl w:val="0"/>
          <w:lang w:val="en-US"/>
        </w:rPr>
        <w:t xml:space="preserve">), and group 3 </w:t>
      </w:r>
      <w:r>
        <w:rPr>
          <w:rFonts w:ascii="Times New Roman" w:hAnsi="Times New Roman" w:hint="default"/>
          <w:color w:val="221f1f"/>
          <w:sz w:val="25"/>
          <w:szCs w:val="25"/>
          <w:rtl w:val="0"/>
        </w:rPr>
        <w:t xml:space="preserve">– </w:t>
      </w:r>
      <w:r>
        <w:rPr>
          <w:rFonts w:ascii="Times New Roman" w:hAnsi="Times New Roman"/>
          <w:color w:val="221f1f"/>
          <w:sz w:val="25"/>
          <w:szCs w:val="25"/>
          <w:rtl w:val="0"/>
          <w:lang w:val="en-US"/>
        </w:rPr>
        <w:t>28</w:t>
      </w:r>
      <w:r>
        <w:rPr>
          <w:rFonts w:ascii="Times New Roman" w:hAnsi="Times New Roman"/>
          <w:color w:val="221f1f"/>
          <w:sz w:val="25"/>
          <w:szCs w:val="25"/>
          <w:rtl w:val="0"/>
          <w:lang w:val="en-US"/>
        </w:rPr>
        <w:t xml:space="preserve">patients (33%) were obese (BMI </w:t>
      </w:r>
      <w:r>
        <w:rPr>
          <w:rFonts w:ascii="Times New Roman" w:hAnsi="Times New Roman" w:hint="default"/>
          <w:color w:val="221f1f"/>
          <w:sz w:val="25"/>
          <w:szCs w:val="25"/>
          <w:rtl w:val="0"/>
        </w:rPr>
        <w:t xml:space="preserve">≥ </w:t>
      </w:r>
      <w:r>
        <w:rPr>
          <w:rFonts w:ascii="Times New Roman" w:hAnsi="Times New Roman"/>
          <w:color w:val="221f1f"/>
          <w:sz w:val="25"/>
          <w:szCs w:val="25"/>
          <w:rtl w:val="0"/>
        </w:rPr>
        <w:t>30 kg/m</w:t>
      </w:r>
      <w:r>
        <w:rPr>
          <w:rFonts w:ascii="Times New Roman" w:hAnsi="Times New Roman"/>
          <w:color w:val="221f1f"/>
          <w:position w:val="8"/>
          <w:sz w:val="25"/>
          <w:szCs w:val="25"/>
          <w:rtl w:val="0"/>
        </w:rPr>
        <w:t>2</w:t>
      </w:r>
      <w:r>
        <w:rPr>
          <w:rFonts w:ascii="Times New Roman" w:hAnsi="Times New Roman"/>
          <w:color w:val="221f1f"/>
          <w:sz w:val="25"/>
          <w:szCs w:val="25"/>
          <w:rtl w:val="0"/>
          <w:lang w:val="en-US"/>
        </w:rPr>
        <w:t>). In postmenopausal TNBC is diagnosed in significantly more patients with obese, and in premenopausal in patients who have overweight. Lobular TNBC was significantly more frequent in patients in with obese (25%) and ductal - in patients with group 1 and 2 in 7</w:t>
      </w:r>
      <w:r>
        <w:rPr>
          <w:rFonts w:ascii="Times New Roman" w:hAnsi="Times New Roman"/>
          <w:color w:val="221f1f"/>
          <w:sz w:val="25"/>
          <w:szCs w:val="25"/>
          <w:rtl w:val="0"/>
          <w:lang w:val="en-US"/>
        </w:rPr>
        <w:t>2</w:t>
      </w:r>
      <w:r>
        <w:rPr>
          <w:rFonts w:ascii="Times New Roman" w:hAnsi="Times New Roman"/>
          <w:color w:val="221f1f"/>
          <w:sz w:val="25"/>
          <w:szCs w:val="25"/>
          <w:rtl w:val="0"/>
          <w:lang w:val="en-US"/>
        </w:rPr>
        <w:t>% and 7</w:t>
      </w:r>
      <w:r>
        <w:rPr>
          <w:rFonts w:ascii="Times New Roman" w:hAnsi="Times New Roman"/>
          <w:color w:val="221f1f"/>
          <w:sz w:val="25"/>
          <w:szCs w:val="25"/>
          <w:rtl w:val="0"/>
          <w:lang w:val="en-US"/>
        </w:rPr>
        <w:t>5</w:t>
      </w:r>
      <w:r>
        <w:rPr>
          <w:rFonts w:ascii="Times New Roman" w:hAnsi="Times New Roman"/>
          <w:color w:val="221f1f"/>
          <w:sz w:val="25"/>
          <w:szCs w:val="25"/>
          <w:rtl w:val="0"/>
          <w:lang w:val="en-US"/>
        </w:rPr>
        <w:t>% of cases. Low histological grade (G3, G4) occur in patients with overweight and obese (3</w:t>
      </w:r>
      <w:r>
        <w:rPr>
          <w:rFonts w:ascii="Times New Roman" w:hAnsi="Times New Roman"/>
          <w:color w:val="221f1f"/>
          <w:sz w:val="25"/>
          <w:szCs w:val="25"/>
          <w:rtl w:val="0"/>
          <w:lang w:val="en-US"/>
        </w:rPr>
        <w:t>0</w:t>
      </w:r>
      <w:r>
        <w:rPr>
          <w:rFonts w:ascii="Times New Roman" w:hAnsi="Times New Roman"/>
          <w:color w:val="221f1f"/>
          <w:sz w:val="25"/>
          <w:szCs w:val="25"/>
          <w:rtl w:val="0"/>
          <w:lang w:val="en-US"/>
        </w:rPr>
        <w:t>% and 4</w:t>
      </w:r>
      <w:r>
        <w:rPr>
          <w:rFonts w:ascii="Times New Roman" w:hAnsi="Times New Roman"/>
          <w:color w:val="221f1f"/>
          <w:sz w:val="25"/>
          <w:szCs w:val="25"/>
          <w:rtl w:val="0"/>
          <w:lang w:val="en-US"/>
        </w:rPr>
        <w:t>0</w:t>
      </w:r>
      <w:r>
        <w:rPr>
          <w:rFonts w:ascii="Times New Roman" w:hAnsi="Times New Roman"/>
          <w:color w:val="221f1f"/>
          <w:sz w:val="25"/>
          <w:szCs w:val="25"/>
          <w:rtl w:val="0"/>
          <w:lang w:val="en-US"/>
        </w:rPr>
        <w:t xml:space="preserve">%, respectively). Lymph node metastases were often (for 13%) in patients with obese. </w:t>
      </w:r>
    </w:p>
    <w:p>
      <w:pPr>
        <w:pStyle w:val="По умолчанию"/>
        <w:bidi w:val="0"/>
        <w:spacing w:after="240" w:line="200" w:lineRule="atLeast"/>
        <w:ind w:left="0" w:right="0" w:firstLine="0"/>
        <w:jc w:val="left"/>
        <w:rPr>
          <w:rFonts w:ascii="Times New Roman" w:cs="Times New Roman" w:hAnsi="Times New Roman" w:eastAsia="Times New Roman"/>
          <w:color w:val="000000"/>
          <w:sz w:val="25"/>
          <w:szCs w:val="25"/>
          <w:rtl w:val="0"/>
        </w:rPr>
      </w:pPr>
      <w:r>
        <w:rPr>
          <w:rFonts w:ascii="Times New Roman" w:hAnsi="Times New Roman"/>
          <w:color w:val="221f1f"/>
          <w:sz w:val="25"/>
          <w:szCs w:val="25"/>
          <w:rtl w:val="0"/>
          <w:lang w:val="en-US"/>
        </w:rPr>
        <w:t xml:space="preserve">Conclusions: Our study shows an association between high BMI and poor prognostic morphological characteristics in patients with TNBC. </w:t>
      </w:r>
    </w:p>
    <w:p>
      <w:pPr>
        <w:pStyle w:val="По умолчанию"/>
        <w:bidi w:val="0"/>
        <w:spacing w:after="240" w:line="200" w:lineRule="atLeast"/>
        <w:ind w:left="0" w:right="0" w:firstLine="0"/>
        <w:jc w:val="left"/>
        <w:rPr>
          <w:rtl w:val="0"/>
        </w:rPr>
      </w:pPr>
      <w:r>
        <w:rPr>
          <w:rFonts w:ascii="Times New Roman" w:hAnsi="Times New Roman"/>
          <w:color w:val="221f1f"/>
          <w:sz w:val="25"/>
          <w:szCs w:val="25"/>
          <w:rtl w:val="0"/>
          <w:lang w:val="en-US"/>
        </w:rPr>
        <w:t>Disclosure: All authors have declared no conflicts of interest.</w:t>
      </w:r>
    </w:p>
    <w:sectPr>
      <w:headerReference w:type="default" r:id="rId5"/>
      <w:footerReference w:type="default" r:id="rId6"/>
      <w:pgSz w:w="11900" w:h="16840" w:orient="portrait"/>
      <w:pgMar w:top="680" w:right="851" w:bottom="680" w:left="851" w:header="709" w:footer="709"/>
      <w:bidi w:val="1"/>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ы"/>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Колонтитулы">
    <w:name w:val="Колонтитулы"/>
    <w:next w:val="Колонтитулы"/>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1"/>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4">
    <w:name w:val="Heading 4"/>
    <w:next w:val="Heading 4"/>
    <w:pPr>
      <w:keepNext w:val="0"/>
      <w:keepLines w:val="0"/>
      <w:pageBreakBefore w:val="0"/>
      <w:widowControl w:val="1"/>
      <w:shd w:val="clear" w:color="auto" w:fill="auto"/>
      <w:suppressAutoHyphens w:val="0"/>
      <w:bidi w:val="1"/>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ru-RU"/>
    </w:rPr>
  </w:style>
  <w:style w:type="paragraph" w:styleId="По умолчанию">
    <w:name w:val="По умолчанию"/>
    <w:next w:val="По умолчанию"/>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