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217" w:rsidRPr="00194BF9" w:rsidRDefault="006B3217" w:rsidP="00FF3607">
      <w:pPr>
        <w:spacing w:after="0" w:line="240" w:lineRule="auto"/>
        <w:jc w:val="center"/>
        <w:rPr>
          <w:rFonts w:ascii="Times New Roman" w:eastAsia="Tw Cen MT" w:hAnsi="Times New Roman" w:cs="Times New Roman"/>
          <w:b/>
          <w:sz w:val="24"/>
          <w:szCs w:val="24"/>
          <w:lang w:val="en-US"/>
        </w:rPr>
      </w:pPr>
      <w:r w:rsidRPr="00194BF9">
        <w:rPr>
          <w:rFonts w:ascii="Times New Roman" w:eastAsia="Tw Cen MT" w:hAnsi="Times New Roman" w:cs="Times New Roman"/>
          <w:b/>
          <w:sz w:val="24"/>
          <w:szCs w:val="24"/>
          <w:lang w:val="en-US"/>
        </w:rPr>
        <w:t xml:space="preserve">Title: </w:t>
      </w:r>
      <w:r w:rsidR="00FF3607">
        <w:rPr>
          <w:rFonts w:ascii="Times New Roman" w:eastAsia="Tw Cen MT" w:hAnsi="Times New Roman" w:cs="Times New Roman"/>
          <w:b/>
          <w:sz w:val="24"/>
          <w:szCs w:val="24"/>
          <w:lang w:val="en-US"/>
        </w:rPr>
        <w:t xml:space="preserve">The Behavior of stock returns during liquidity crisis </w:t>
      </w:r>
    </w:p>
    <w:p w:rsidR="006B3217" w:rsidRPr="00194BF9" w:rsidRDefault="006B3217" w:rsidP="00194BF9">
      <w:pPr>
        <w:spacing w:after="0" w:line="240" w:lineRule="auto"/>
        <w:rPr>
          <w:rFonts w:ascii="Times New Roman" w:eastAsia="Tw Cen MT" w:hAnsi="Times New Roman" w:cs="Times New Roman"/>
          <w:b/>
          <w:sz w:val="24"/>
          <w:szCs w:val="24"/>
          <w:lang w:val="en-US"/>
        </w:rPr>
      </w:pPr>
    </w:p>
    <w:p w:rsidR="006B3217" w:rsidRPr="00194BF9" w:rsidRDefault="00FF3607" w:rsidP="00634030">
      <w:pPr>
        <w:spacing w:after="0" w:line="240" w:lineRule="auto"/>
        <w:jc w:val="center"/>
        <w:rPr>
          <w:rFonts w:ascii="Times New Roman" w:eastAsia="Tw Cen MT" w:hAnsi="Times New Roman" w:cs="Times New Roman"/>
          <w:sz w:val="24"/>
          <w:szCs w:val="24"/>
          <w:vertAlign w:val="superscript"/>
          <w:lang w:val="en-US"/>
        </w:rPr>
      </w:pPr>
      <w:r>
        <w:rPr>
          <w:rFonts w:ascii="Times New Roman" w:eastAsia="Tw Cen MT" w:hAnsi="Times New Roman" w:cs="Times New Roman"/>
          <w:sz w:val="24"/>
          <w:szCs w:val="24"/>
          <w:lang w:val="en-US"/>
        </w:rPr>
        <w:t>H</w:t>
      </w:r>
      <w:r w:rsidR="00634030" w:rsidRPr="00634030">
        <w:rPr>
          <w:rFonts w:ascii="Times New Roman" w:eastAsia="Tw Cen MT" w:hAnsi="Times New Roman" w:cs="Times New Roman"/>
          <w:sz w:val="24"/>
          <w:szCs w:val="24"/>
          <w:lang w:val="en-US"/>
        </w:rPr>
        <w:t>é</w:t>
      </w:r>
      <w:r>
        <w:rPr>
          <w:rFonts w:ascii="Times New Roman" w:eastAsia="Tw Cen MT" w:hAnsi="Times New Roman" w:cs="Times New Roman"/>
          <w:sz w:val="24"/>
          <w:szCs w:val="24"/>
          <w:lang w:val="en-US"/>
        </w:rPr>
        <w:t>la Ben Soltane</w:t>
      </w:r>
      <w:r w:rsidR="006B3217" w:rsidRPr="00194BF9">
        <w:rPr>
          <w:rFonts w:ascii="Times New Roman" w:eastAsia="Tw Cen MT" w:hAnsi="Times New Roman" w:cs="Times New Roman"/>
          <w:sz w:val="24"/>
          <w:szCs w:val="24"/>
          <w:vertAlign w:val="superscript"/>
          <w:lang w:val="en-US"/>
        </w:rPr>
        <w:t>1</w:t>
      </w:r>
    </w:p>
    <w:p w:rsidR="006B3217" w:rsidRPr="00AF2CF0" w:rsidRDefault="006B3217" w:rsidP="00194BF9">
      <w:pPr>
        <w:spacing w:after="0" w:line="240" w:lineRule="auto"/>
        <w:jc w:val="center"/>
        <w:rPr>
          <w:rFonts w:ascii="Times New Roman" w:eastAsia="Tw Cen MT" w:hAnsi="Times New Roman" w:cs="Times New Roman"/>
          <w:i/>
          <w:sz w:val="24"/>
          <w:szCs w:val="24"/>
          <w:lang w:val="en-US"/>
        </w:rPr>
      </w:pPr>
    </w:p>
    <w:p w:rsidR="006B3217" w:rsidRPr="00AF2CF0" w:rsidRDefault="006B3217" w:rsidP="0062343A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AF2CF0">
        <w:rPr>
          <w:rFonts w:ascii="Times New Roman" w:eastAsia="Calibri" w:hAnsi="Times New Roman" w:cs="Times New Roman"/>
          <w:i/>
          <w:sz w:val="24"/>
          <w:szCs w:val="24"/>
          <w:vertAlign w:val="superscript"/>
          <w:lang w:val="en-US"/>
        </w:rPr>
        <w:t>1</w:t>
      </w:r>
      <w:r w:rsidRPr="00AF2CF0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University of </w:t>
      </w:r>
      <w:r w:rsidR="00FF3607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Ha’il, College of Business Administration, </w:t>
      </w:r>
      <w:r w:rsidR="0062343A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Depart. </w:t>
      </w:r>
      <w:proofErr w:type="gramStart"/>
      <w:r w:rsidR="0062343A">
        <w:rPr>
          <w:rFonts w:ascii="Times New Roman" w:eastAsia="Calibri" w:hAnsi="Times New Roman" w:cs="Times New Roman"/>
          <w:i/>
          <w:sz w:val="24"/>
          <w:szCs w:val="24"/>
          <w:lang w:val="en-US"/>
        </w:rPr>
        <w:t>of</w:t>
      </w:r>
      <w:proofErr w:type="gramEnd"/>
      <w:r w:rsidR="0062343A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Economics &amp; Finance, </w:t>
      </w:r>
      <w:r w:rsidR="00FF3607">
        <w:rPr>
          <w:rFonts w:ascii="Times New Roman" w:eastAsia="Calibri" w:hAnsi="Times New Roman" w:cs="Times New Roman"/>
          <w:i/>
          <w:sz w:val="24"/>
          <w:szCs w:val="24"/>
          <w:lang w:val="en-US"/>
        </w:rPr>
        <w:t>Saudi Arabia.</w:t>
      </w:r>
      <w:r w:rsidRPr="00AF2CF0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</w:t>
      </w:r>
    </w:p>
    <w:p w:rsidR="006B3217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62343A" w:rsidRPr="00194BF9" w:rsidRDefault="0062343A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  <w:lang w:val="en-US"/>
        </w:rPr>
      </w:pPr>
      <w:r w:rsidRPr="00194BF9"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  <w:lang w:val="en-US"/>
        </w:rPr>
        <w:t>Abstract</w:t>
      </w:r>
    </w:p>
    <w:p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  <w:sectPr w:rsidR="006B3217" w:rsidRPr="00194BF9" w:rsidSect="006B3217">
          <w:pgSz w:w="11906" w:h="16838"/>
          <w:pgMar w:top="993" w:right="991" w:bottom="1440" w:left="993" w:header="708" w:footer="708" w:gutter="0"/>
          <w:cols w:space="708"/>
          <w:docGrid w:linePitch="360"/>
        </w:sectPr>
      </w:pPr>
    </w:p>
    <w:p w:rsidR="0046369B" w:rsidRDefault="00330062" w:rsidP="00A66F17">
      <w:pPr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330062">
        <w:rPr>
          <w:rFonts w:asciiTheme="majorBidi" w:hAnsiTheme="majorBidi" w:cstheme="majorBidi"/>
          <w:sz w:val="24"/>
          <w:szCs w:val="24"/>
        </w:rPr>
        <w:t>Market liquidity is a precondition for market efficiency but its sudden disappearance may escalate into a systemic crisis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Pr="00330062">
        <w:rPr>
          <w:rFonts w:asciiTheme="majorBidi" w:hAnsiTheme="majorBidi" w:cstheme="majorBidi"/>
        </w:rPr>
        <w:t xml:space="preserve">Several </w:t>
      </w:r>
      <w:r>
        <w:rPr>
          <w:rFonts w:asciiTheme="majorBidi" w:hAnsiTheme="majorBidi" w:cstheme="majorBidi"/>
        </w:rPr>
        <w:t xml:space="preserve">studies analysing </w:t>
      </w:r>
      <w:r w:rsidRPr="00330062">
        <w:rPr>
          <w:rFonts w:asciiTheme="majorBidi" w:hAnsiTheme="majorBidi" w:cstheme="majorBidi"/>
        </w:rPr>
        <w:t>financial cris</w:t>
      </w:r>
      <w:r w:rsidR="008E2213">
        <w:rPr>
          <w:rFonts w:asciiTheme="majorBidi" w:hAnsiTheme="majorBidi" w:cstheme="majorBidi"/>
        </w:rPr>
        <w:t>e</w:t>
      </w:r>
      <w:r w:rsidRPr="00330062">
        <w:rPr>
          <w:rFonts w:asciiTheme="majorBidi" w:hAnsiTheme="majorBidi" w:cstheme="majorBidi"/>
        </w:rPr>
        <w:t xml:space="preserve">s </w:t>
      </w:r>
      <w:r>
        <w:rPr>
          <w:rFonts w:asciiTheme="majorBidi" w:hAnsiTheme="majorBidi" w:cstheme="majorBidi"/>
        </w:rPr>
        <w:t>revealed that m</w:t>
      </w:r>
      <w:r w:rsidRPr="00330062">
        <w:rPr>
          <w:rFonts w:asciiTheme="majorBidi" w:hAnsiTheme="majorBidi" w:cstheme="majorBidi"/>
        </w:rPr>
        <w:t>arket illiquidity was often involved in the major global financial cris</w:t>
      </w:r>
      <w:r>
        <w:rPr>
          <w:rFonts w:asciiTheme="majorBidi" w:hAnsiTheme="majorBidi" w:cstheme="majorBidi"/>
        </w:rPr>
        <w:t>e</w:t>
      </w:r>
      <w:r w:rsidRPr="00330062">
        <w:rPr>
          <w:rFonts w:asciiTheme="majorBidi" w:hAnsiTheme="majorBidi" w:cstheme="majorBidi"/>
        </w:rPr>
        <w:t>s and stock crashes</w:t>
      </w:r>
      <w:r w:rsidR="008E2213">
        <w:rPr>
          <w:rFonts w:asciiTheme="majorBidi" w:hAnsiTheme="majorBidi" w:cstheme="majorBidi"/>
        </w:rPr>
        <w:t xml:space="preserve"> (</w:t>
      </w:r>
      <w:proofErr w:type="spellStart"/>
      <w:r w:rsidR="008E2213">
        <w:rPr>
          <w:rFonts w:asciiTheme="majorBidi" w:hAnsiTheme="majorBidi" w:cstheme="majorBidi"/>
        </w:rPr>
        <w:t>Amihud</w:t>
      </w:r>
      <w:proofErr w:type="spellEnd"/>
      <w:r w:rsidR="008E2213">
        <w:rPr>
          <w:rFonts w:asciiTheme="majorBidi" w:hAnsiTheme="majorBidi" w:cstheme="majorBidi"/>
        </w:rPr>
        <w:t xml:space="preserve"> et al., 1990; </w:t>
      </w:r>
      <w:proofErr w:type="spellStart"/>
      <w:r w:rsidR="008E2213">
        <w:rPr>
          <w:rFonts w:asciiTheme="majorBidi" w:hAnsiTheme="majorBidi" w:cstheme="majorBidi"/>
        </w:rPr>
        <w:t>Perderson</w:t>
      </w:r>
      <w:proofErr w:type="spellEnd"/>
      <w:r w:rsidR="008E2213">
        <w:rPr>
          <w:rFonts w:asciiTheme="majorBidi" w:hAnsiTheme="majorBidi" w:cstheme="majorBidi"/>
        </w:rPr>
        <w:t xml:space="preserve">, 2009; Aragon et al., 2012, </w:t>
      </w:r>
      <w:proofErr w:type="spellStart"/>
      <w:r w:rsidR="008E2213" w:rsidRPr="008E2213">
        <w:rPr>
          <w:rFonts w:asciiTheme="majorBidi" w:hAnsiTheme="majorBidi" w:cstheme="majorBidi"/>
        </w:rPr>
        <w:t>Qiao</w:t>
      </w:r>
      <w:proofErr w:type="spellEnd"/>
      <w:r w:rsidR="008E2213" w:rsidRPr="008E2213">
        <w:rPr>
          <w:rFonts w:asciiTheme="majorBidi" w:hAnsiTheme="majorBidi" w:cstheme="majorBidi"/>
        </w:rPr>
        <w:t xml:space="preserve"> et al., 2020</w:t>
      </w:r>
      <w:r w:rsidR="008E2213">
        <w:rPr>
          <w:rFonts w:asciiTheme="majorBidi" w:hAnsiTheme="majorBidi" w:cstheme="majorBidi"/>
        </w:rPr>
        <w:t xml:space="preserve">). Liquidity </w:t>
      </w:r>
      <w:r w:rsidR="008E2213" w:rsidRPr="008E2213">
        <w:rPr>
          <w:rFonts w:asciiTheme="majorBidi" w:hAnsiTheme="majorBidi" w:cstheme="majorBidi"/>
        </w:rPr>
        <w:t>is a Multidimensional concept</w:t>
      </w:r>
      <w:r w:rsidR="008E2213">
        <w:rPr>
          <w:rFonts w:asciiTheme="majorBidi" w:hAnsiTheme="majorBidi" w:cstheme="majorBidi"/>
        </w:rPr>
        <w:t>.</w:t>
      </w:r>
      <w:r w:rsidR="0062343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8E2213">
        <w:rPr>
          <w:rFonts w:asciiTheme="majorBidi" w:hAnsiTheme="majorBidi" w:cstheme="majorBidi"/>
          <w:sz w:val="24"/>
          <w:szCs w:val="24"/>
          <w:lang w:val="en-US"/>
        </w:rPr>
        <w:t>This research</w:t>
      </w:r>
      <w:r w:rsidR="00643582" w:rsidRPr="007606D8">
        <w:rPr>
          <w:rFonts w:asciiTheme="majorBidi" w:hAnsiTheme="majorBidi" w:cstheme="majorBidi"/>
          <w:sz w:val="24"/>
          <w:szCs w:val="24"/>
          <w:lang w:val="en-US"/>
        </w:rPr>
        <w:t xml:space="preserve"> focus</w:t>
      </w:r>
      <w:r w:rsidR="008E2213">
        <w:rPr>
          <w:rFonts w:asciiTheme="majorBidi" w:hAnsiTheme="majorBidi" w:cstheme="majorBidi"/>
          <w:sz w:val="24"/>
          <w:szCs w:val="24"/>
          <w:lang w:val="en-US"/>
        </w:rPr>
        <w:t>es</w:t>
      </w:r>
      <w:r w:rsidR="00643582" w:rsidRPr="007606D8">
        <w:rPr>
          <w:rFonts w:asciiTheme="majorBidi" w:hAnsiTheme="majorBidi" w:cstheme="majorBidi"/>
          <w:sz w:val="24"/>
          <w:szCs w:val="24"/>
          <w:lang w:val="en-US"/>
        </w:rPr>
        <w:t xml:space="preserve"> on </w:t>
      </w:r>
      <w:r w:rsidR="008E2213">
        <w:rPr>
          <w:rFonts w:asciiTheme="majorBidi" w:hAnsiTheme="majorBidi" w:cstheme="majorBidi"/>
          <w:sz w:val="24"/>
          <w:szCs w:val="24"/>
          <w:lang w:val="en-US"/>
        </w:rPr>
        <w:t>market</w:t>
      </w:r>
      <w:r w:rsidR="00643582" w:rsidRPr="007606D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8E2213" w:rsidRPr="007606D8">
        <w:rPr>
          <w:rFonts w:asciiTheme="majorBidi" w:hAnsiTheme="majorBidi" w:cstheme="majorBidi"/>
          <w:sz w:val="24"/>
          <w:szCs w:val="24"/>
          <w:lang w:val="en-US"/>
        </w:rPr>
        <w:t xml:space="preserve">illiquidity </w:t>
      </w:r>
      <w:r w:rsidR="008E2213">
        <w:rPr>
          <w:rFonts w:asciiTheme="majorBidi" w:hAnsiTheme="majorBidi" w:cstheme="majorBidi"/>
          <w:sz w:val="24"/>
          <w:szCs w:val="24"/>
          <w:lang w:val="en-US"/>
        </w:rPr>
        <w:t xml:space="preserve">that </w:t>
      </w:r>
      <w:proofErr w:type="gramStart"/>
      <w:r w:rsidR="008E2213">
        <w:rPr>
          <w:rFonts w:asciiTheme="majorBidi" w:hAnsiTheme="majorBidi" w:cstheme="majorBidi"/>
          <w:sz w:val="24"/>
          <w:szCs w:val="24"/>
          <w:lang w:val="en-US"/>
        </w:rPr>
        <w:t xml:space="preserve">is </w:t>
      </w:r>
      <w:r w:rsidR="00643582" w:rsidRPr="007606D8">
        <w:rPr>
          <w:rFonts w:asciiTheme="majorBidi" w:hAnsiTheme="majorBidi" w:cstheme="majorBidi"/>
          <w:sz w:val="24"/>
          <w:szCs w:val="24"/>
          <w:lang w:val="en-US"/>
        </w:rPr>
        <w:t>reflected</w:t>
      </w:r>
      <w:proofErr w:type="gramEnd"/>
      <w:r w:rsidR="00643582" w:rsidRPr="007606D8">
        <w:rPr>
          <w:rFonts w:asciiTheme="majorBidi" w:hAnsiTheme="majorBidi" w:cstheme="majorBidi"/>
          <w:sz w:val="24"/>
          <w:szCs w:val="24"/>
          <w:lang w:val="en-US"/>
        </w:rPr>
        <w:t xml:space="preserve"> by temporary price deviations caused by </w:t>
      </w:r>
      <w:r w:rsidR="00643582">
        <w:rPr>
          <w:rFonts w:asciiTheme="majorBidi" w:hAnsiTheme="majorBidi" w:cstheme="majorBidi"/>
          <w:sz w:val="24"/>
          <w:szCs w:val="24"/>
          <w:lang w:val="en-US"/>
        </w:rPr>
        <w:t xml:space="preserve">the </w:t>
      </w:r>
      <w:r w:rsidR="00643582" w:rsidRPr="007606D8">
        <w:rPr>
          <w:rFonts w:asciiTheme="majorBidi" w:hAnsiTheme="majorBidi" w:cstheme="majorBidi"/>
          <w:sz w:val="24"/>
          <w:szCs w:val="24"/>
          <w:lang w:val="en-US"/>
        </w:rPr>
        <w:t>order flow</w:t>
      </w:r>
      <w:r w:rsidR="00643582">
        <w:rPr>
          <w:rFonts w:asciiTheme="majorBidi" w:hAnsiTheme="majorBidi" w:cstheme="majorBidi"/>
          <w:sz w:val="24"/>
          <w:szCs w:val="24"/>
          <w:lang w:val="en-US"/>
        </w:rPr>
        <w:t>, i.e. the price impact</w:t>
      </w:r>
      <w:r w:rsidR="00643582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="00562079">
        <w:rPr>
          <w:rFonts w:asciiTheme="majorBidi" w:hAnsiTheme="majorBidi" w:cstheme="majorBidi"/>
          <w:sz w:val="24"/>
          <w:szCs w:val="24"/>
          <w:lang w:val="en-US"/>
        </w:rPr>
        <w:t>The objective of this research is to study</w:t>
      </w:r>
      <w:r w:rsidR="008E2213" w:rsidRPr="007606D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9248F6">
        <w:rPr>
          <w:rFonts w:asciiTheme="majorBidi" w:hAnsiTheme="majorBidi" w:cstheme="majorBidi"/>
          <w:sz w:val="24"/>
          <w:szCs w:val="24"/>
          <w:lang w:val="en-US"/>
        </w:rPr>
        <w:t xml:space="preserve">the relationship over time between returns and </w:t>
      </w:r>
      <w:r w:rsidR="00562079">
        <w:rPr>
          <w:rFonts w:asciiTheme="majorBidi" w:hAnsiTheme="majorBidi" w:cstheme="majorBidi"/>
          <w:sz w:val="24"/>
          <w:szCs w:val="24"/>
          <w:lang w:val="en-US"/>
        </w:rPr>
        <w:t xml:space="preserve">shocks in </w:t>
      </w:r>
      <w:r w:rsidR="008E2213">
        <w:rPr>
          <w:rFonts w:asciiTheme="majorBidi" w:hAnsiTheme="majorBidi" w:cstheme="majorBidi"/>
          <w:sz w:val="24"/>
          <w:szCs w:val="24"/>
          <w:lang w:val="en-US"/>
        </w:rPr>
        <w:t xml:space="preserve">market </w:t>
      </w:r>
      <w:r w:rsidR="008E2213" w:rsidRPr="007606D8">
        <w:rPr>
          <w:rFonts w:asciiTheme="majorBidi" w:hAnsiTheme="majorBidi" w:cstheme="majorBidi"/>
          <w:sz w:val="24"/>
          <w:szCs w:val="24"/>
          <w:lang w:val="en-US"/>
        </w:rPr>
        <w:t>illiquidity</w:t>
      </w:r>
      <w:r w:rsidR="008E2213">
        <w:rPr>
          <w:rFonts w:asciiTheme="majorBidi" w:hAnsiTheme="majorBidi" w:cstheme="majorBidi"/>
          <w:sz w:val="24"/>
          <w:szCs w:val="24"/>
          <w:lang w:val="en-US"/>
        </w:rPr>
        <w:t xml:space="preserve">. For empirical </w:t>
      </w:r>
      <w:r w:rsidR="00562079">
        <w:rPr>
          <w:rFonts w:asciiTheme="majorBidi" w:hAnsiTheme="majorBidi" w:cstheme="majorBidi"/>
          <w:sz w:val="24"/>
          <w:szCs w:val="24"/>
          <w:lang w:val="en-US"/>
        </w:rPr>
        <w:t xml:space="preserve">evidence, </w:t>
      </w:r>
      <w:r w:rsidR="009248F6">
        <w:rPr>
          <w:rFonts w:asciiTheme="majorBidi" w:hAnsiTheme="majorBidi" w:cstheme="majorBidi"/>
          <w:sz w:val="24"/>
          <w:szCs w:val="24"/>
          <w:lang w:val="en-US"/>
        </w:rPr>
        <w:t xml:space="preserve">this relationship is studied using data of </w:t>
      </w:r>
      <w:r w:rsidR="0062343A" w:rsidRPr="007606D8">
        <w:rPr>
          <w:rFonts w:asciiTheme="majorBidi" w:hAnsiTheme="majorBidi" w:cstheme="majorBidi"/>
          <w:sz w:val="24"/>
          <w:szCs w:val="24"/>
          <w:lang w:val="en-US"/>
        </w:rPr>
        <w:t xml:space="preserve">Small and Medium-sized Enterprises (SMEs) listed on </w:t>
      </w:r>
      <w:r w:rsidR="0062343A">
        <w:rPr>
          <w:rFonts w:asciiTheme="majorBidi" w:hAnsiTheme="majorBidi" w:cstheme="majorBidi"/>
          <w:sz w:val="24"/>
          <w:szCs w:val="24"/>
          <w:lang w:val="en-US"/>
        </w:rPr>
        <w:t xml:space="preserve">the </w:t>
      </w:r>
      <w:r w:rsidR="0062343A" w:rsidRPr="007606D8">
        <w:rPr>
          <w:rFonts w:asciiTheme="majorBidi" w:hAnsiTheme="majorBidi" w:cstheme="majorBidi"/>
          <w:sz w:val="24"/>
          <w:szCs w:val="24"/>
          <w:lang w:val="en-US"/>
        </w:rPr>
        <w:t>Saudi Stock Exchange</w:t>
      </w:r>
      <w:r w:rsidR="0062343A">
        <w:rPr>
          <w:rFonts w:asciiTheme="majorBidi" w:hAnsiTheme="majorBidi" w:cstheme="majorBidi"/>
          <w:sz w:val="24"/>
          <w:szCs w:val="24"/>
          <w:lang w:val="en-US"/>
        </w:rPr>
        <w:t>.</w:t>
      </w:r>
      <w:r w:rsidR="00562079" w:rsidRPr="00562079">
        <w:rPr>
          <w:rFonts w:cstheme="majorBidi"/>
          <w:sz w:val="24"/>
          <w:szCs w:val="24"/>
          <w:lang w:val="en-US"/>
        </w:rPr>
        <w:t xml:space="preserve"> </w:t>
      </w:r>
      <w:r w:rsidR="00562079" w:rsidRPr="000B6FDA">
        <w:rPr>
          <w:rFonts w:cstheme="majorBidi"/>
          <w:sz w:val="24"/>
          <w:szCs w:val="24"/>
          <w:lang w:val="en-US"/>
        </w:rPr>
        <w:t>Saudi SMEs attracts considerable attention since they allow diversification of Saudi economy</w:t>
      </w:r>
      <w:r w:rsidR="00562079">
        <w:rPr>
          <w:rFonts w:cstheme="majorBidi"/>
          <w:sz w:val="24"/>
          <w:szCs w:val="24"/>
          <w:lang w:val="en-US"/>
        </w:rPr>
        <w:t>.</w:t>
      </w:r>
      <w:r w:rsidR="0062343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9248F6">
        <w:rPr>
          <w:rFonts w:asciiTheme="majorBidi" w:hAnsiTheme="majorBidi" w:cstheme="majorBidi"/>
          <w:sz w:val="24"/>
          <w:szCs w:val="24"/>
          <w:lang w:val="en-US"/>
        </w:rPr>
        <w:t>I</w:t>
      </w:r>
      <w:r w:rsidR="0062343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62343A" w:rsidRPr="007606D8">
        <w:rPr>
          <w:rFonts w:asciiTheme="majorBidi" w:hAnsiTheme="majorBidi" w:cstheme="majorBidi"/>
          <w:sz w:val="24"/>
          <w:szCs w:val="24"/>
          <w:lang w:val="en-US"/>
        </w:rPr>
        <w:t xml:space="preserve">examine </w:t>
      </w:r>
      <w:r w:rsidR="009248F6" w:rsidRPr="007606D8">
        <w:rPr>
          <w:rFonts w:asciiTheme="majorBidi" w:hAnsiTheme="majorBidi" w:cstheme="majorBidi"/>
          <w:sz w:val="24"/>
          <w:szCs w:val="24"/>
          <w:lang w:val="en-US"/>
        </w:rPr>
        <w:t xml:space="preserve">how </w:t>
      </w:r>
      <w:r w:rsidR="009248F6">
        <w:rPr>
          <w:rFonts w:asciiTheme="majorBidi" w:hAnsiTheme="majorBidi" w:cstheme="majorBidi"/>
          <w:sz w:val="24"/>
          <w:szCs w:val="24"/>
          <w:lang w:val="en-US"/>
        </w:rPr>
        <w:t>stock</w:t>
      </w:r>
      <w:r w:rsidR="009248F6" w:rsidRPr="007606D8">
        <w:rPr>
          <w:rFonts w:asciiTheme="majorBidi" w:hAnsiTheme="majorBidi" w:cstheme="majorBidi"/>
          <w:sz w:val="24"/>
          <w:szCs w:val="24"/>
          <w:lang w:val="en-US"/>
        </w:rPr>
        <w:t xml:space="preserve"> prices </w:t>
      </w:r>
      <w:proofErr w:type="gramStart"/>
      <w:r w:rsidR="009248F6">
        <w:rPr>
          <w:rFonts w:asciiTheme="majorBidi" w:hAnsiTheme="majorBidi" w:cstheme="majorBidi"/>
          <w:sz w:val="24"/>
          <w:szCs w:val="24"/>
          <w:lang w:val="en-US"/>
        </w:rPr>
        <w:t>could be</w:t>
      </w:r>
      <w:r w:rsidR="009248F6" w:rsidRPr="007606D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9248F6">
        <w:rPr>
          <w:rFonts w:asciiTheme="majorBidi" w:hAnsiTheme="majorBidi" w:cstheme="majorBidi"/>
          <w:sz w:val="24"/>
          <w:szCs w:val="24"/>
          <w:lang w:val="en-US"/>
        </w:rPr>
        <w:t>affected</w:t>
      </w:r>
      <w:proofErr w:type="gramEnd"/>
      <w:r w:rsidR="009248F6" w:rsidRPr="007606D8">
        <w:rPr>
          <w:rFonts w:asciiTheme="majorBidi" w:hAnsiTheme="majorBidi" w:cstheme="majorBidi"/>
          <w:sz w:val="24"/>
          <w:szCs w:val="24"/>
          <w:lang w:val="en-US"/>
        </w:rPr>
        <w:t xml:space="preserve"> by</w:t>
      </w:r>
      <w:r w:rsidR="009248F6">
        <w:rPr>
          <w:rFonts w:asciiTheme="majorBidi" w:hAnsiTheme="majorBidi" w:cstheme="majorBidi"/>
          <w:sz w:val="24"/>
          <w:szCs w:val="24"/>
          <w:lang w:val="en-US"/>
        </w:rPr>
        <w:t xml:space="preserve"> illiquidity shocks </w:t>
      </w:r>
      <w:r w:rsidR="0062343A">
        <w:rPr>
          <w:rFonts w:asciiTheme="majorBidi" w:hAnsiTheme="majorBidi" w:cstheme="majorBidi"/>
          <w:sz w:val="24"/>
          <w:szCs w:val="24"/>
          <w:lang w:val="en-US"/>
        </w:rPr>
        <w:t xml:space="preserve">and </w:t>
      </w:r>
      <w:r w:rsidR="009248F6">
        <w:rPr>
          <w:rFonts w:asciiTheme="majorBidi" w:hAnsiTheme="majorBidi" w:cstheme="majorBidi"/>
          <w:sz w:val="24"/>
          <w:szCs w:val="24"/>
          <w:lang w:val="en-US"/>
        </w:rPr>
        <w:t>I</w:t>
      </w:r>
      <w:r w:rsidR="0062343A" w:rsidRPr="007606D8">
        <w:rPr>
          <w:rFonts w:asciiTheme="majorBidi" w:hAnsiTheme="majorBidi" w:cstheme="majorBidi"/>
          <w:sz w:val="24"/>
          <w:szCs w:val="24"/>
          <w:lang w:val="en-US"/>
        </w:rPr>
        <w:t xml:space="preserve"> test whether this </w:t>
      </w:r>
      <w:r w:rsidR="009248F6">
        <w:rPr>
          <w:rFonts w:asciiTheme="majorBidi" w:hAnsiTheme="majorBidi" w:cstheme="majorBidi"/>
          <w:sz w:val="24"/>
          <w:szCs w:val="24"/>
          <w:lang w:val="en-US"/>
        </w:rPr>
        <w:t>effect</w:t>
      </w:r>
      <w:r w:rsidR="0062343A" w:rsidRPr="007606D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F332A7">
        <w:rPr>
          <w:rFonts w:asciiTheme="majorBidi" w:hAnsiTheme="majorBidi" w:cstheme="majorBidi"/>
          <w:sz w:val="24"/>
          <w:szCs w:val="24"/>
          <w:lang w:val="en-US"/>
        </w:rPr>
        <w:t xml:space="preserve">varies </w:t>
      </w:r>
      <w:r w:rsidR="009248F6">
        <w:rPr>
          <w:rFonts w:asciiTheme="majorBidi" w:hAnsiTheme="majorBidi" w:cstheme="majorBidi"/>
          <w:sz w:val="24"/>
          <w:szCs w:val="24"/>
          <w:lang w:val="en-US"/>
        </w:rPr>
        <w:t>according to the enterprise size</w:t>
      </w:r>
      <w:r w:rsidR="0062343A" w:rsidRPr="007606D8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="009248F6">
        <w:rPr>
          <w:rFonts w:asciiTheme="majorBidi" w:hAnsiTheme="majorBidi" w:cstheme="majorBidi"/>
          <w:sz w:val="24"/>
          <w:szCs w:val="24"/>
          <w:lang w:val="en-US"/>
        </w:rPr>
        <w:t>E</w:t>
      </w:r>
      <w:r w:rsidR="0062343A" w:rsidRPr="007606D8">
        <w:rPr>
          <w:rFonts w:asciiTheme="majorBidi" w:hAnsiTheme="majorBidi" w:cstheme="majorBidi"/>
          <w:sz w:val="24"/>
          <w:szCs w:val="24"/>
          <w:lang w:val="en-US"/>
        </w:rPr>
        <w:t>stimat</w:t>
      </w:r>
      <w:r w:rsidR="009248F6">
        <w:rPr>
          <w:rFonts w:asciiTheme="majorBidi" w:hAnsiTheme="majorBidi" w:cstheme="majorBidi"/>
          <w:sz w:val="24"/>
          <w:szCs w:val="24"/>
          <w:lang w:val="en-US"/>
        </w:rPr>
        <w:t xml:space="preserve">ion of shocks in market illiquidity </w:t>
      </w:r>
      <w:proofErr w:type="gramStart"/>
      <w:r w:rsidR="009248F6">
        <w:rPr>
          <w:rFonts w:asciiTheme="majorBidi" w:hAnsiTheme="majorBidi" w:cstheme="majorBidi"/>
          <w:sz w:val="24"/>
          <w:szCs w:val="24"/>
          <w:lang w:val="en-US"/>
        </w:rPr>
        <w:t>is based</w:t>
      </w:r>
      <w:proofErr w:type="gramEnd"/>
      <w:r w:rsidR="009248F6">
        <w:rPr>
          <w:rFonts w:asciiTheme="majorBidi" w:hAnsiTheme="majorBidi" w:cstheme="majorBidi"/>
          <w:sz w:val="24"/>
          <w:szCs w:val="24"/>
          <w:lang w:val="en-US"/>
        </w:rPr>
        <w:t xml:space="preserve"> on the </w:t>
      </w:r>
      <w:r w:rsidR="0062343A" w:rsidRPr="007606D8">
        <w:rPr>
          <w:rFonts w:asciiTheme="majorBidi" w:hAnsiTheme="majorBidi" w:cstheme="majorBidi"/>
          <w:sz w:val="24"/>
          <w:szCs w:val="24"/>
          <w:lang w:val="en-US"/>
        </w:rPr>
        <w:t xml:space="preserve">measure of </w:t>
      </w:r>
      <w:proofErr w:type="spellStart"/>
      <w:r w:rsidR="0062343A" w:rsidRPr="007606D8">
        <w:rPr>
          <w:rFonts w:asciiTheme="majorBidi" w:hAnsiTheme="majorBidi" w:cstheme="majorBidi"/>
          <w:sz w:val="24"/>
          <w:szCs w:val="24"/>
          <w:lang w:val="en-US"/>
        </w:rPr>
        <w:t>Amihud</w:t>
      </w:r>
      <w:proofErr w:type="spellEnd"/>
      <w:r w:rsidR="0062343A" w:rsidRPr="007606D8">
        <w:rPr>
          <w:rFonts w:asciiTheme="majorBidi" w:hAnsiTheme="majorBidi" w:cstheme="majorBidi"/>
          <w:sz w:val="24"/>
          <w:szCs w:val="24"/>
          <w:lang w:val="en-US"/>
        </w:rPr>
        <w:t xml:space="preserve"> (2002)</w:t>
      </w:r>
      <w:r w:rsidR="0062343A">
        <w:rPr>
          <w:rFonts w:asciiTheme="majorBidi" w:hAnsiTheme="majorBidi" w:cstheme="majorBidi"/>
          <w:sz w:val="24"/>
          <w:szCs w:val="24"/>
          <w:lang w:val="en-US"/>
        </w:rPr>
        <w:t xml:space="preserve"> at weekly frequency</w:t>
      </w:r>
      <w:r w:rsidR="0062343A" w:rsidRPr="007606D8">
        <w:rPr>
          <w:rFonts w:asciiTheme="majorBidi" w:hAnsiTheme="majorBidi" w:cstheme="majorBidi"/>
          <w:sz w:val="24"/>
          <w:szCs w:val="24"/>
          <w:lang w:val="en-US"/>
        </w:rPr>
        <w:t>.</w:t>
      </w:r>
      <w:r w:rsidR="0062343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9248F6">
        <w:rPr>
          <w:rFonts w:asciiTheme="majorBidi" w:hAnsiTheme="majorBidi" w:cstheme="majorBidi"/>
          <w:sz w:val="24"/>
          <w:szCs w:val="24"/>
          <w:lang w:val="en-US"/>
        </w:rPr>
        <w:t>Results show</w:t>
      </w:r>
      <w:r w:rsidR="0062343A" w:rsidRPr="007606D8">
        <w:rPr>
          <w:rFonts w:asciiTheme="majorBidi" w:hAnsiTheme="majorBidi" w:cstheme="majorBidi"/>
          <w:sz w:val="24"/>
          <w:szCs w:val="24"/>
          <w:lang w:val="en-US"/>
        </w:rPr>
        <w:t xml:space="preserve"> that </w:t>
      </w:r>
      <w:r w:rsidR="009248F6">
        <w:rPr>
          <w:rFonts w:asciiTheme="majorBidi" w:hAnsiTheme="majorBidi" w:cstheme="majorBidi"/>
          <w:sz w:val="24"/>
          <w:szCs w:val="24"/>
          <w:lang w:val="en-US"/>
        </w:rPr>
        <w:t xml:space="preserve">shocks in </w:t>
      </w:r>
      <w:r w:rsidR="0062343A">
        <w:rPr>
          <w:rFonts w:asciiTheme="majorBidi" w:hAnsiTheme="majorBidi" w:cstheme="majorBidi"/>
          <w:sz w:val="24"/>
          <w:szCs w:val="24"/>
          <w:lang w:val="en-US"/>
        </w:rPr>
        <w:t>market illiquidity significantly lower contemporaneous stock prices of Saudi SMEs,</w:t>
      </w:r>
      <w:r w:rsidR="0062343A" w:rsidRPr="007606D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62343A">
        <w:rPr>
          <w:rFonts w:asciiTheme="majorBidi" w:hAnsiTheme="majorBidi" w:cstheme="majorBidi"/>
          <w:sz w:val="24"/>
          <w:szCs w:val="24"/>
          <w:lang w:val="en-US"/>
        </w:rPr>
        <w:t>except those of the “Real estate management and development” sector</w:t>
      </w:r>
      <w:r w:rsidR="009248F6">
        <w:rPr>
          <w:rFonts w:asciiTheme="majorBidi" w:hAnsiTheme="majorBidi" w:cstheme="majorBidi"/>
          <w:sz w:val="24"/>
          <w:szCs w:val="24"/>
          <w:lang w:val="en-US"/>
        </w:rPr>
        <w:t xml:space="preserve">. This </w:t>
      </w:r>
      <w:r w:rsidR="00A66F17">
        <w:rPr>
          <w:rFonts w:asciiTheme="majorBidi" w:hAnsiTheme="majorBidi" w:cstheme="majorBidi"/>
          <w:sz w:val="24"/>
          <w:szCs w:val="24"/>
          <w:lang w:val="en-US"/>
        </w:rPr>
        <w:t>industry group</w:t>
      </w:r>
      <w:r w:rsidR="009248F6">
        <w:rPr>
          <w:rFonts w:asciiTheme="majorBidi" w:hAnsiTheme="majorBidi" w:cstheme="majorBidi"/>
          <w:sz w:val="24"/>
          <w:szCs w:val="24"/>
          <w:lang w:val="en-US"/>
        </w:rPr>
        <w:t xml:space="preserve"> is </w:t>
      </w:r>
      <w:r w:rsidR="0062343A">
        <w:rPr>
          <w:rFonts w:asciiTheme="majorBidi" w:hAnsiTheme="majorBidi" w:cstheme="majorBidi"/>
          <w:sz w:val="24"/>
          <w:szCs w:val="24"/>
          <w:lang w:val="en-US"/>
        </w:rPr>
        <w:t xml:space="preserve">insensitive to </w:t>
      </w:r>
      <w:r w:rsidR="009248F6">
        <w:rPr>
          <w:rFonts w:asciiTheme="majorBidi" w:hAnsiTheme="majorBidi" w:cstheme="majorBidi"/>
          <w:sz w:val="24"/>
          <w:szCs w:val="24"/>
          <w:lang w:val="en-US"/>
        </w:rPr>
        <w:t>illiquidity shocks</w:t>
      </w:r>
      <w:r w:rsidR="0062343A">
        <w:rPr>
          <w:rFonts w:asciiTheme="majorBidi" w:hAnsiTheme="majorBidi" w:cstheme="majorBidi"/>
          <w:sz w:val="24"/>
          <w:szCs w:val="24"/>
          <w:lang w:val="en-US"/>
        </w:rPr>
        <w:t xml:space="preserve">. In addition, </w:t>
      </w:r>
      <w:r w:rsidR="00A66F17">
        <w:rPr>
          <w:rFonts w:asciiTheme="majorBidi" w:hAnsiTheme="majorBidi" w:cstheme="majorBidi"/>
          <w:sz w:val="24"/>
          <w:szCs w:val="24"/>
          <w:lang w:val="en-US"/>
        </w:rPr>
        <w:t>estimation results indicate</w:t>
      </w:r>
      <w:r w:rsidR="009248F6">
        <w:rPr>
          <w:rFonts w:asciiTheme="majorBidi" w:hAnsiTheme="majorBidi" w:cstheme="majorBidi"/>
          <w:sz w:val="24"/>
          <w:szCs w:val="24"/>
          <w:lang w:val="en-US"/>
        </w:rPr>
        <w:t xml:space="preserve"> that </w:t>
      </w:r>
      <w:r w:rsidR="0062343A">
        <w:rPr>
          <w:rFonts w:asciiTheme="majorBidi" w:hAnsiTheme="majorBidi" w:cstheme="majorBidi"/>
          <w:sz w:val="24"/>
          <w:szCs w:val="24"/>
          <w:lang w:val="en-US"/>
        </w:rPr>
        <w:t xml:space="preserve">illiquidity level of small enterprises portfolio is more volatile over time than that of medium enterprises portfolio, but both portfolios have the same illiquidity level. </w:t>
      </w:r>
      <w:r w:rsidR="00A66F17">
        <w:rPr>
          <w:rFonts w:asciiTheme="majorBidi" w:hAnsiTheme="majorBidi" w:cstheme="majorBidi"/>
          <w:sz w:val="24"/>
          <w:szCs w:val="24"/>
          <w:lang w:val="en-US"/>
        </w:rPr>
        <w:t>The</w:t>
      </w:r>
      <w:r w:rsidR="00A66F17">
        <w:rPr>
          <w:rFonts w:asciiTheme="majorBidi" w:hAnsiTheme="majorBidi" w:cstheme="majorBidi"/>
          <w:sz w:val="24"/>
          <w:szCs w:val="24"/>
          <w:lang w:val="en-US"/>
        </w:rPr>
        <w:t xml:space="preserve"> findings reveal </w:t>
      </w:r>
      <w:r w:rsidR="0062343A">
        <w:rPr>
          <w:rFonts w:asciiTheme="majorBidi" w:hAnsiTheme="majorBidi" w:cstheme="majorBidi"/>
          <w:sz w:val="24"/>
          <w:szCs w:val="24"/>
          <w:lang w:val="en-US"/>
        </w:rPr>
        <w:t xml:space="preserve">also that portfolio returns of small enterprises portfolio </w:t>
      </w:r>
      <w:proofErr w:type="gramStart"/>
      <w:r w:rsidR="0062343A">
        <w:rPr>
          <w:rFonts w:asciiTheme="majorBidi" w:hAnsiTheme="majorBidi" w:cstheme="majorBidi"/>
          <w:sz w:val="24"/>
          <w:szCs w:val="24"/>
          <w:lang w:val="en-US"/>
        </w:rPr>
        <w:t>are more negatively affected</w:t>
      </w:r>
      <w:proofErr w:type="gramEnd"/>
      <w:r w:rsidR="0062343A">
        <w:rPr>
          <w:rFonts w:asciiTheme="majorBidi" w:hAnsiTheme="majorBidi" w:cstheme="majorBidi"/>
          <w:sz w:val="24"/>
          <w:szCs w:val="24"/>
          <w:lang w:val="en-US"/>
        </w:rPr>
        <w:t xml:space="preserve"> by market illiquidity shocks than those of medium enterprises portfolio. </w:t>
      </w:r>
      <w:r w:rsidR="0062343A" w:rsidRPr="007606D8">
        <w:rPr>
          <w:rFonts w:asciiTheme="majorBidi" w:eastAsiaTheme="minorEastAsia" w:hAnsiTheme="majorBidi" w:cstheme="majorBidi"/>
          <w:sz w:val="24"/>
          <w:szCs w:val="24"/>
          <w:lang w:val="en-US"/>
        </w:rPr>
        <w:t xml:space="preserve">While previous studies showed that </w:t>
      </w:r>
      <w:r w:rsidR="0062343A">
        <w:rPr>
          <w:rFonts w:asciiTheme="majorBidi" w:eastAsiaTheme="minorEastAsia" w:hAnsiTheme="majorBidi" w:cstheme="majorBidi"/>
          <w:sz w:val="24"/>
          <w:szCs w:val="24"/>
          <w:lang w:val="en-US"/>
        </w:rPr>
        <w:t xml:space="preserve">market </w:t>
      </w:r>
      <w:r w:rsidR="0062343A" w:rsidRPr="007606D8">
        <w:rPr>
          <w:rFonts w:asciiTheme="majorBidi" w:hAnsiTheme="majorBidi" w:cstheme="majorBidi"/>
          <w:sz w:val="24"/>
          <w:szCs w:val="24"/>
          <w:lang w:val="en-US"/>
        </w:rPr>
        <w:t xml:space="preserve">illiquidity affect more </w:t>
      </w:r>
      <w:r w:rsidR="0062343A">
        <w:rPr>
          <w:rFonts w:asciiTheme="majorBidi" w:hAnsiTheme="majorBidi" w:cstheme="majorBidi"/>
          <w:sz w:val="24"/>
          <w:szCs w:val="24"/>
          <w:lang w:val="en-US"/>
        </w:rPr>
        <w:t xml:space="preserve">the most </w:t>
      </w:r>
      <w:r w:rsidR="0062343A" w:rsidRPr="007606D8">
        <w:rPr>
          <w:rFonts w:asciiTheme="majorBidi" w:hAnsiTheme="majorBidi" w:cstheme="majorBidi"/>
          <w:sz w:val="24"/>
          <w:szCs w:val="24"/>
          <w:lang w:val="en-US"/>
        </w:rPr>
        <w:t xml:space="preserve">illiquid stocks, our study </w:t>
      </w:r>
      <w:r w:rsidR="0062343A">
        <w:rPr>
          <w:rFonts w:asciiTheme="majorBidi" w:hAnsiTheme="majorBidi" w:cstheme="majorBidi"/>
          <w:sz w:val="24"/>
          <w:szCs w:val="24"/>
          <w:lang w:val="en-US"/>
        </w:rPr>
        <w:t>concludes</w:t>
      </w:r>
      <w:r w:rsidR="0062343A" w:rsidRPr="007606D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62343A" w:rsidRPr="007606D8">
        <w:rPr>
          <w:rFonts w:asciiTheme="majorBidi" w:eastAsiaTheme="minorEastAsia" w:hAnsiTheme="majorBidi" w:cstheme="majorBidi"/>
          <w:sz w:val="24"/>
          <w:szCs w:val="24"/>
          <w:lang w:val="en-US"/>
        </w:rPr>
        <w:t xml:space="preserve">that </w:t>
      </w:r>
      <w:r w:rsidR="0062343A">
        <w:rPr>
          <w:rFonts w:asciiTheme="majorBidi" w:eastAsiaTheme="minorEastAsia" w:hAnsiTheme="majorBidi" w:cstheme="majorBidi"/>
          <w:sz w:val="24"/>
          <w:szCs w:val="24"/>
          <w:lang w:val="en-US"/>
        </w:rPr>
        <w:t xml:space="preserve">market illiquidity affect more stocks </w:t>
      </w:r>
      <w:r w:rsidR="0062343A" w:rsidRPr="007606D8">
        <w:rPr>
          <w:rFonts w:asciiTheme="majorBidi" w:eastAsiaTheme="minorEastAsia" w:hAnsiTheme="majorBidi" w:cstheme="majorBidi"/>
          <w:sz w:val="24"/>
          <w:szCs w:val="24"/>
          <w:lang w:val="en-US"/>
        </w:rPr>
        <w:t>whose illiquidity levels are more volatile</w:t>
      </w:r>
      <w:r w:rsidR="006B3217"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="0046369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46369B" w:rsidRDefault="0046369B" w:rsidP="00463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6B3217" w:rsidRPr="00194BF9" w:rsidRDefault="0046369B" w:rsidP="00463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(</w:t>
      </w:r>
      <w:r w:rsidR="00FA08F0">
        <w:rPr>
          <w:rFonts w:ascii="Times New Roman" w:eastAsia="Calibri" w:hAnsi="Times New Roman" w:cs="Times New Roman"/>
          <w:sz w:val="24"/>
          <w:szCs w:val="24"/>
          <w:lang w:val="en-US"/>
        </w:rPr>
        <w:t>10</w:t>
      </w:r>
      <w:r w:rsidR="006B3217"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>0-500 words)</w:t>
      </w:r>
    </w:p>
    <w:p w:rsidR="0046369B" w:rsidRDefault="0046369B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  <w:sectPr w:rsidR="0046369B" w:rsidSect="001753E4">
          <w:type w:val="continuous"/>
          <w:pgSz w:w="11906" w:h="16838"/>
          <w:pgMar w:top="1440" w:right="991" w:bottom="1440" w:left="993" w:header="708" w:footer="708" w:gutter="0"/>
          <w:cols w:num="2" w:space="284"/>
          <w:docGrid w:linePitch="360"/>
        </w:sectPr>
      </w:pPr>
    </w:p>
    <w:p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  <w:lang w:val="en-US"/>
        </w:rPr>
      </w:pPr>
      <w:r w:rsidRPr="00194BF9"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  <w:lang w:val="en-US"/>
        </w:rPr>
        <w:t>References</w:t>
      </w:r>
    </w:p>
    <w:p w:rsidR="00B044F5" w:rsidRPr="007606D8" w:rsidRDefault="00B044F5" w:rsidP="00B044F5">
      <w:pPr>
        <w:pStyle w:val="Default"/>
        <w:numPr>
          <w:ilvl w:val="0"/>
          <w:numId w:val="1"/>
        </w:numPr>
        <w:jc w:val="both"/>
        <w:rPr>
          <w:rFonts w:asciiTheme="majorBidi" w:hAnsiTheme="majorBidi" w:cstheme="majorBidi"/>
          <w:lang w:val="en-US"/>
        </w:rPr>
      </w:pPr>
      <w:r w:rsidRPr="007606D8">
        <w:rPr>
          <w:rFonts w:asciiTheme="majorBidi" w:hAnsiTheme="majorBidi" w:cstheme="majorBidi"/>
          <w:lang w:val="en-US"/>
        </w:rPr>
        <w:t xml:space="preserve">Acharya Viral V., </w:t>
      </w:r>
      <w:proofErr w:type="spellStart"/>
      <w:r w:rsidRPr="007606D8">
        <w:rPr>
          <w:rFonts w:asciiTheme="majorBidi" w:hAnsiTheme="majorBidi" w:cstheme="majorBidi"/>
          <w:lang w:val="en-US"/>
        </w:rPr>
        <w:t>Amihud</w:t>
      </w:r>
      <w:proofErr w:type="spellEnd"/>
      <w:r w:rsidRPr="007606D8">
        <w:rPr>
          <w:rFonts w:asciiTheme="majorBidi" w:hAnsiTheme="majorBidi" w:cstheme="majorBidi"/>
          <w:lang w:val="en-US"/>
        </w:rPr>
        <w:t xml:space="preserve"> Y. and </w:t>
      </w:r>
      <w:proofErr w:type="spellStart"/>
      <w:r w:rsidRPr="007606D8">
        <w:rPr>
          <w:rFonts w:asciiTheme="majorBidi" w:hAnsiTheme="majorBidi" w:cstheme="majorBidi"/>
          <w:lang w:val="en-US"/>
        </w:rPr>
        <w:t>Bharath</w:t>
      </w:r>
      <w:proofErr w:type="spellEnd"/>
      <w:r w:rsidRPr="007606D8">
        <w:rPr>
          <w:rFonts w:asciiTheme="majorBidi" w:hAnsiTheme="majorBidi" w:cstheme="majorBidi"/>
          <w:lang w:val="en-US"/>
        </w:rPr>
        <w:t xml:space="preserve"> S. (2013) « Liquidity Risk of Corporate Bond Returns: A Conditional Approach », Journal of Financial Economics, 110 (2), 358-386.</w:t>
      </w:r>
    </w:p>
    <w:p w:rsidR="00B044F5" w:rsidRPr="007606D8" w:rsidRDefault="00B044F5" w:rsidP="00B044F5">
      <w:pPr>
        <w:pStyle w:val="Default"/>
        <w:numPr>
          <w:ilvl w:val="0"/>
          <w:numId w:val="1"/>
        </w:numPr>
        <w:jc w:val="both"/>
        <w:rPr>
          <w:rFonts w:asciiTheme="majorBidi" w:hAnsiTheme="majorBidi" w:cstheme="majorBidi"/>
          <w:lang w:val="en-US"/>
        </w:rPr>
      </w:pPr>
      <w:r w:rsidRPr="007606D8">
        <w:rPr>
          <w:rFonts w:asciiTheme="majorBidi" w:hAnsiTheme="majorBidi" w:cstheme="majorBidi"/>
          <w:lang w:val="en-US"/>
        </w:rPr>
        <w:t>Acharya Viral V. and Pedersen L. H. (2005) « Asset pricing with liquidity risk », Journal of Financial Economics 77, 375–410.</w:t>
      </w:r>
    </w:p>
    <w:p w:rsidR="00B044F5" w:rsidRPr="007606D8" w:rsidRDefault="00B044F5" w:rsidP="00B044F5">
      <w:pPr>
        <w:pStyle w:val="Default"/>
        <w:numPr>
          <w:ilvl w:val="0"/>
          <w:numId w:val="1"/>
        </w:numPr>
        <w:jc w:val="both"/>
        <w:rPr>
          <w:rFonts w:asciiTheme="majorBidi" w:hAnsiTheme="majorBidi" w:cstheme="majorBidi"/>
          <w:lang w:val="en-US"/>
        </w:rPr>
      </w:pPr>
      <w:proofErr w:type="spellStart"/>
      <w:r w:rsidRPr="007606D8">
        <w:rPr>
          <w:rFonts w:asciiTheme="majorBidi" w:hAnsiTheme="majorBidi" w:cstheme="majorBidi"/>
          <w:lang w:val="en-US"/>
        </w:rPr>
        <w:t>Amihud</w:t>
      </w:r>
      <w:proofErr w:type="spellEnd"/>
      <w:r w:rsidRPr="007606D8">
        <w:rPr>
          <w:rFonts w:asciiTheme="majorBidi" w:hAnsiTheme="majorBidi" w:cstheme="majorBidi"/>
          <w:lang w:val="en-US"/>
        </w:rPr>
        <w:t xml:space="preserve"> Y. (2019), “Illiquidity and Stock Returns: A Revisit”, Critical Finance Review, 8, 203–221.</w:t>
      </w:r>
    </w:p>
    <w:p w:rsidR="00B044F5" w:rsidRPr="007606D8" w:rsidRDefault="00B044F5" w:rsidP="00B044F5">
      <w:pPr>
        <w:pStyle w:val="Default"/>
        <w:numPr>
          <w:ilvl w:val="0"/>
          <w:numId w:val="1"/>
        </w:numPr>
        <w:jc w:val="both"/>
        <w:rPr>
          <w:rFonts w:asciiTheme="majorBidi" w:hAnsiTheme="majorBidi" w:cstheme="majorBidi"/>
          <w:color w:val="auto"/>
          <w:lang w:val="en-US"/>
        </w:rPr>
      </w:pPr>
      <w:proofErr w:type="spellStart"/>
      <w:r w:rsidRPr="007606D8">
        <w:rPr>
          <w:rFonts w:asciiTheme="majorBidi" w:hAnsiTheme="majorBidi" w:cstheme="majorBidi"/>
          <w:color w:val="auto"/>
          <w:lang w:val="en-US"/>
        </w:rPr>
        <w:t>Amihud</w:t>
      </w:r>
      <w:proofErr w:type="spellEnd"/>
      <w:r w:rsidRPr="007606D8">
        <w:rPr>
          <w:rFonts w:asciiTheme="majorBidi" w:hAnsiTheme="majorBidi" w:cstheme="majorBidi"/>
          <w:color w:val="auto"/>
          <w:lang w:val="en-US"/>
        </w:rPr>
        <w:t xml:space="preserve"> Y. and Noh J. (2018) « Illiquidity and Stock Returns II: Cross-Section and Time-Series Effects”, Review of Financial Studies, SSRN: </w:t>
      </w:r>
      <w:hyperlink r:id="rId5" w:history="1">
        <w:r w:rsidRPr="007606D8">
          <w:rPr>
            <w:rStyle w:val="Hyperlink"/>
            <w:rFonts w:asciiTheme="majorBidi" w:hAnsiTheme="majorBidi" w:cstheme="majorBidi"/>
            <w:color w:val="auto"/>
            <w:u w:val="none"/>
            <w:lang w:val="en-US"/>
          </w:rPr>
          <w:t>https://ssrn.com/abstract=3139180</w:t>
        </w:r>
      </w:hyperlink>
      <w:r w:rsidRPr="007606D8">
        <w:rPr>
          <w:rFonts w:asciiTheme="majorBidi" w:hAnsiTheme="majorBidi" w:cstheme="majorBidi"/>
          <w:lang w:val="en-US"/>
        </w:rPr>
        <w:t>.</w:t>
      </w:r>
    </w:p>
    <w:p w:rsidR="00B044F5" w:rsidRPr="007606D8" w:rsidRDefault="00B044F5" w:rsidP="00B044F5">
      <w:pPr>
        <w:pStyle w:val="Default"/>
        <w:numPr>
          <w:ilvl w:val="0"/>
          <w:numId w:val="1"/>
        </w:numPr>
        <w:jc w:val="both"/>
        <w:rPr>
          <w:rFonts w:asciiTheme="majorBidi" w:hAnsiTheme="majorBidi" w:cstheme="majorBidi"/>
          <w:color w:val="auto"/>
          <w:lang w:val="en-US"/>
        </w:rPr>
      </w:pPr>
      <w:proofErr w:type="spellStart"/>
      <w:r w:rsidRPr="007606D8">
        <w:rPr>
          <w:rFonts w:asciiTheme="majorBidi" w:hAnsiTheme="majorBidi" w:cstheme="majorBidi"/>
          <w:lang w:val="en-US"/>
        </w:rPr>
        <w:t>Amihud</w:t>
      </w:r>
      <w:proofErr w:type="spellEnd"/>
      <w:r w:rsidRPr="007606D8">
        <w:rPr>
          <w:rFonts w:asciiTheme="majorBidi" w:hAnsiTheme="majorBidi" w:cstheme="majorBidi"/>
          <w:lang w:val="en-US"/>
        </w:rPr>
        <w:t>, Y. and J. Noh. (2017) “The Pricing of the Illiquidity Factor’s Systematic Risk”. SSRN</w:t>
      </w:r>
      <w:r w:rsidRPr="007606D8">
        <w:rPr>
          <w:rFonts w:asciiTheme="majorBidi" w:hAnsiTheme="majorBidi" w:cstheme="majorBidi"/>
          <w:color w:val="auto"/>
          <w:lang w:val="en-US"/>
        </w:rPr>
        <w:t xml:space="preserve">: </w:t>
      </w:r>
      <w:hyperlink r:id="rId6" w:history="1">
        <w:r w:rsidRPr="007606D8">
          <w:rPr>
            <w:rStyle w:val="Hyperlink"/>
            <w:rFonts w:asciiTheme="majorBidi" w:hAnsiTheme="majorBidi" w:cstheme="majorBidi"/>
            <w:color w:val="auto"/>
            <w:u w:val="none"/>
            <w:lang w:val="en-US"/>
          </w:rPr>
          <w:t>https://papers.ssrn.com/sol3/papers.cfm?abstract_id=2835992</w:t>
        </w:r>
      </w:hyperlink>
      <w:r w:rsidRPr="007606D8">
        <w:rPr>
          <w:rFonts w:asciiTheme="majorBidi" w:hAnsiTheme="majorBidi" w:cstheme="majorBidi"/>
          <w:lang w:val="en-US"/>
        </w:rPr>
        <w:t>.</w:t>
      </w:r>
    </w:p>
    <w:p w:rsidR="00B044F5" w:rsidRPr="007606D8" w:rsidRDefault="00B044F5" w:rsidP="00B044F5">
      <w:pPr>
        <w:pStyle w:val="Default"/>
        <w:numPr>
          <w:ilvl w:val="0"/>
          <w:numId w:val="1"/>
        </w:numPr>
        <w:jc w:val="both"/>
        <w:rPr>
          <w:rFonts w:asciiTheme="majorBidi" w:hAnsiTheme="majorBidi" w:cstheme="majorBidi"/>
          <w:color w:val="auto"/>
          <w:lang w:val="en-US"/>
        </w:rPr>
      </w:pPr>
      <w:proofErr w:type="spellStart"/>
      <w:r w:rsidRPr="007606D8">
        <w:rPr>
          <w:rFonts w:asciiTheme="majorBidi" w:hAnsiTheme="majorBidi" w:cstheme="majorBidi"/>
          <w:lang w:val="en-US"/>
        </w:rPr>
        <w:t>Amihud</w:t>
      </w:r>
      <w:proofErr w:type="spellEnd"/>
      <w:r w:rsidRPr="007606D8">
        <w:rPr>
          <w:rFonts w:asciiTheme="majorBidi" w:hAnsiTheme="majorBidi" w:cstheme="majorBidi"/>
          <w:lang w:val="en-US"/>
        </w:rPr>
        <w:t xml:space="preserve"> Y., Hameed A., Kang W. and Zhang H. (2015) « The illiquidity premium: International evidence », Journal of Financial Economics, 117 (2), 350-368.</w:t>
      </w:r>
    </w:p>
    <w:p w:rsidR="00B044F5" w:rsidRPr="007606D8" w:rsidRDefault="00B044F5" w:rsidP="00B044F5">
      <w:pPr>
        <w:pStyle w:val="Default"/>
        <w:numPr>
          <w:ilvl w:val="0"/>
          <w:numId w:val="1"/>
        </w:numPr>
        <w:jc w:val="both"/>
        <w:rPr>
          <w:rFonts w:asciiTheme="majorBidi" w:hAnsiTheme="majorBidi" w:cstheme="majorBidi"/>
          <w:lang w:val="en-US"/>
        </w:rPr>
      </w:pPr>
      <w:proofErr w:type="spellStart"/>
      <w:r w:rsidRPr="007606D8">
        <w:rPr>
          <w:rFonts w:asciiTheme="majorBidi" w:hAnsiTheme="majorBidi" w:cstheme="majorBidi"/>
          <w:lang w:val="en-US"/>
        </w:rPr>
        <w:t>Amihud</w:t>
      </w:r>
      <w:proofErr w:type="spellEnd"/>
      <w:r w:rsidRPr="007606D8">
        <w:rPr>
          <w:rFonts w:asciiTheme="majorBidi" w:hAnsiTheme="majorBidi" w:cstheme="majorBidi"/>
          <w:lang w:val="en-US"/>
        </w:rPr>
        <w:t xml:space="preserve"> Y. (2002) « Illiquidity and stock return: Cross-section and time-series effects », Journal of Financial Markets, 5, 31-56.</w:t>
      </w:r>
    </w:p>
    <w:p w:rsidR="00B044F5" w:rsidRPr="007606D8" w:rsidRDefault="00B044F5" w:rsidP="00B044F5">
      <w:pPr>
        <w:pStyle w:val="Default"/>
        <w:numPr>
          <w:ilvl w:val="0"/>
          <w:numId w:val="1"/>
        </w:numPr>
        <w:jc w:val="both"/>
        <w:rPr>
          <w:rFonts w:asciiTheme="majorBidi" w:hAnsiTheme="majorBidi" w:cstheme="majorBidi"/>
          <w:lang w:val="en-US"/>
        </w:rPr>
      </w:pPr>
      <w:proofErr w:type="spellStart"/>
      <w:r w:rsidRPr="007606D8">
        <w:rPr>
          <w:rFonts w:asciiTheme="majorBidi" w:hAnsiTheme="majorBidi" w:cstheme="majorBidi"/>
          <w:lang w:val="en-US"/>
        </w:rPr>
        <w:lastRenderedPageBreak/>
        <w:t>Amihud</w:t>
      </w:r>
      <w:proofErr w:type="spellEnd"/>
      <w:r w:rsidRPr="007606D8">
        <w:rPr>
          <w:rFonts w:asciiTheme="majorBidi" w:hAnsiTheme="majorBidi" w:cstheme="majorBidi"/>
          <w:lang w:val="en-US"/>
        </w:rPr>
        <w:t xml:space="preserve"> Y., Mendelson H., and Wood R. A. (1990) « Liquidity and the 1987 Stock Market Crash », Journal of Portfolio Management; </w:t>
      </w:r>
      <w:proofErr w:type="gramStart"/>
      <w:r w:rsidRPr="007606D8">
        <w:rPr>
          <w:rFonts w:asciiTheme="majorBidi" w:hAnsiTheme="majorBidi" w:cstheme="majorBidi"/>
          <w:lang w:val="en-US"/>
        </w:rPr>
        <w:t>Spring</w:t>
      </w:r>
      <w:proofErr w:type="gramEnd"/>
      <w:r w:rsidRPr="007606D8">
        <w:rPr>
          <w:rFonts w:asciiTheme="majorBidi" w:hAnsiTheme="majorBidi" w:cstheme="majorBidi"/>
          <w:lang w:val="en-US"/>
        </w:rPr>
        <w:t xml:space="preserve"> 16 (3); 65-69. </w:t>
      </w:r>
    </w:p>
    <w:p w:rsidR="00B044F5" w:rsidRPr="007606D8" w:rsidRDefault="00B044F5" w:rsidP="00B044F5">
      <w:pPr>
        <w:pStyle w:val="Default"/>
        <w:numPr>
          <w:ilvl w:val="0"/>
          <w:numId w:val="1"/>
        </w:numPr>
        <w:jc w:val="both"/>
        <w:rPr>
          <w:rFonts w:asciiTheme="majorBidi" w:hAnsiTheme="majorBidi" w:cstheme="majorBidi"/>
          <w:lang w:val="en-US"/>
        </w:rPr>
      </w:pPr>
      <w:proofErr w:type="spellStart"/>
      <w:r w:rsidRPr="007606D8">
        <w:rPr>
          <w:rFonts w:asciiTheme="majorBidi" w:hAnsiTheme="majorBidi" w:cstheme="majorBidi"/>
          <w:lang w:val="en-US"/>
        </w:rPr>
        <w:t>Amihud</w:t>
      </w:r>
      <w:proofErr w:type="spellEnd"/>
      <w:r w:rsidRPr="007606D8">
        <w:rPr>
          <w:rFonts w:asciiTheme="majorBidi" w:hAnsiTheme="majorBidi" w:cstheme="majorBidi"/>
          <w:lang w:val="en-US"/>
        </w:rPr>
        <w:t xml:space="preserve"> Y. and Mendelson H. (1986) « Asset pricing and the Bid-ask spread », Journal of financial Economics 17, 223-249.</w:t>
      </w:r>
    </w:p>
    <w:p w:rsidR="00B044F5" w:rsidRDefault="00B044F5" w:rsidP="00B044F5">
      <w:pPr>
        <w:pStyle w:val="Default"/>
        <w:numPr>
          <w:ilvl w:val="0"/>
          <w:numId w:val="1"/>
        </w:numPr>
        <w:jc w:val="both"/>
        <w:rPr>
          <w:rFonts w:asciiTheme="majorBidi" w:hAnsiTheme="majorBidi" w:cstheme="majorBidi"/>
          <w:color w:val="auto"/>
          <w:lang w:val="en-US"/>
        </w:rPr>
      </w:pPr>
      <w:hyperlink r:id="rId7" w:anchor="!" w:history="1">
        <w:r w:rsidRPr="007606D8">
          <w:rPr>
            <w:rStyle w:val="Hyperlink"/>
            <w:rFonts w:asciiTheme="majorBidi" w:hAnsiTheme="majorBidi" w:cstheme="majorBidi"/>
            <w:color w:val="auto"/>
            <w:u w:val="none"/>
            <w:lang w:val="en-US"/>
          </w:rPr>
          <w:t>Aragon</w:t>
        </w:r>
      </w:hyperlink>
      <w:r w:rsidRPr="007606D8">
        <w:rPr>
          <w:rFonts w:asciiTheme="majorBidi" w:hAnsiTheme="majorBidi" w:cstheme="majorBidi"/>
          <w:color w:val="auto"/>
          <w:lang w:val="en-US"/>
        </w:rPr>
        <w:t xml:space="preserve"> G. O and </w:t>
      </w:r>
      <w:hyperlink r:id="rId8" w:anchor="!" w:history="1">
        <w:proofErr w:type="spellStart"/>
        <w:r w:rsidRPr="007606D8">
          <w:rPr>
            <w:rStyle w:val="Hyperlink"/>
            <w:rFonts w:asciiTheme="majorBidi" w:hAnsiTheme="majorBidi" w:cstheme="majorBidi"/>
            <w:color w:val="auto"/>
            <w:u w:val="none"/>
            <w:lang w:val="en-US"/>
          </w:rPr>
          <w:t>Strahan</w:t>
        </w:r>
        <w:proofErr w:type="spellEnd"/>
      </w:hyperlink>
      <w:r w:rsidRPr="007606D8">
        <w:rPr>
          <w:rFonts w:asciiTheme="majorBidi" w:hAnsiTheme="majorBidi" w:cstheme="majorBidi"/>
          <w:color w:val="auto"/>
          <w:lang w:val="en-US"/>
        </w:rPr>
        <w:t xml:space="preserve"> P. E. (2012) “Hedge funds as liquidity providers: Evidence from the Lehman bankruptcy”, </w:t>
      </w:r>
      <w:hyperlink r:id="rId9" w:tooltip="Go to Journal of Financial Economics on ScienceDirect" w:history="1">
        <w:r w:rsidRPr="007606D8">
          <w:rPr>
            <w:rStyle w:val="Hyperlink"/>
            <w:rFonts w:asciiTheme="majorBidi" w:hAnsiTheme="majorBidi" w:cstheme="majorBidi"/>
            <w:color w:val="auto"/>
            <w:u w:val="none"/>
            <w:lang w:val="en-US"/>
          </w:rPr>
          <w:t>Journal of Financial Economics</w:t>
        </w:r>
      </w:hyperlink>
      <w:r w:rsidRPr="007606D8">
        <w:rPr>
          <w:rFonts w:asciiTheme="majorBidi" w:hAnsiTheme="majorBidi" w:cstheme="majorBidi"/>
          <w:color w:val="auto"/>
          <w:lang w:val="en-US"/>
        </w:rPr>
        <w:t>, 103 (3), 570-587.</w:t>
      </w:r>
    </w:p>
    <w:p w:rsidR="00B044F5" w:rsidRDefault="00B044F5" w:rsidP="00A54347">
      <w:pPr>
        <w:pStyle w:val="Default"/>
        <w:numPr>
          <w:ilvl w:val="0"/>
          <w:numId w:val="1"/>
        </w:numPr>
        <w:jc w:val="both"/>
        <w:rPr>
          <w:rFonts w:asciiTheme="majorBidi" w:hAnsiTheme="majorBidi" w:cstheme="majorBidi"/>
          <w:color w:val="auto"/>
          <w:lang w:val="en-US"/>
        </w:rPr>
      </w:pPr>
      <w:r>
        <w:rPr>
          <w:rFonts w:asciiTheme="majorBidi" w:hAnsiTheme="majorBidi" w:cstheme="majorBidi"/>
          <w:color w:val="auto"/>
          <w:lang w:val="en-US"/>
        </w:rPr>
        <w:t xml:space="preserve">Ben Soltane H. and </w:t>
      </w:r>
      <w:proofErr w:type="spellStart"/>
      <w:r>
        <w:rPr>
          <w:rFonts w:asciiTheme="majorBidi" w:hAnsiTheme="majorBidi" w:cstheme="majorBidi"/>
          <w:color w:val="auto"/>
          <w:lang w:val="en-US"/>
        </w:rPr>
        <w:t>Naoui</w:t>
      </w:r>
      <w:proofErr w:type="spellEnd"/>
      <w:r>
        <w:rPr>
          <w:rFonts w:asciiTheme="majorBidi" w:hAnsiTheme="majorBidi" w:cstheme="majorBidi"/>
          <w:color w:val="auto"/>
          <w:lang w:val="en-US"/>
        </w:rPr>
        <w:t xml:space="preserve"> K. (2021) “</w:t>
      </w:r>
      <w:r w:rsidRPr="00B044F5">
        <w:rPr>
          <w:rFonts w:asciiTheme="majorBidi" w:hAnsiTheme="majorBidi" w:cstheme="majorBidi"/>
          <w:color w:val="auto"/>
          <w:lang w:val="en-US"/>
        </w:rPr>
        <w:t>Time-varying responses of stock returns to market illiquidity: Stress scenario with regime-switching framework</w:t>
      </w:r>
      <w:r>
        <w:rPr>
          <w:rFonts w:asciiTheme="majorBidi" w:hAnsiTheme="majorBidi" w:cstheme="majorBidi"/>
          <w:color w:val="auto"/>
          <w:lang w:val="en-US"/>
        </w:rPr>
        <w:t xml:space="preserve">”, </w:t>
      </w:r>
      <w:r w:rsidR="00A54347" w:rsidRPr="00A54347">
        <w:rPr>
          <w:rFonts w:asciiTheme="majorBidi" w:hAnsiTheme="majorBidi" w:cstheme="majorBidi"/>
          <w:color w:val="auto"/>
          <w:lang w:val="en-US"/>
        </w:rPr>
        <w:t>International Journal of Finance &amp; Economics, John Wiley &amp; Sons, Ltd., vol. 26(1), pages 1611-1622, January.</w:t>
      </w:r>
      <w:r w:rsidR="00A54347">
        <w:rPr>
          <w:rFonts w:asciiTheme="majorBidi" w:hAnsiTheme="majorBidi" w:cstheme="majorBidi"/>
          <w:color w:val="auto"/>
          <w:lang w:val="en-US"/>
        </w:rPr>
        <w:t xml:space="preserve"> </w:t>
      </w:r>
      <w:r w:rsidR="00A54347" w:rsidRPr="00A54347">
        <w:rPr>
          <w:rFonts w:asciiTheme="majorBidi" w:hAnsiTheme="majorBidi" w:cstheme="majorBidi"/>
          <w:color w:val="auto"/>
          <w:lang w:val="en-US"/>
        </w:rPr>
        <w:t>DOI: 10.1002/ijfe.1866</w:t>
      </w:r>
      <w:r w:rsidR="00A54347">
        <w:rPr>
          <w:rFonts w:asciiTheme="majorBidi" w:hAnsiTheme="majorBidi" w:cstheme="majorBidi"/>
          <w:color w:val="auto"/>
          <w:lang w:val="en-US"/>
        </w:rPr>
        <w:t>.</w:t>
      </w:r>
    </w:p>
    <w:p w:rsidR="00A54347" w:rsidRPr="007606D8" w:rsidRDefault="00A54347" w:rsidP="00A54347">
      <w:pPr>
        <w:pStyle w:val="Default"/>
        <w:numPr>
          <w:ilvl w:val="0"/>
          <w:numId w:val="1"/>
        </w:numPr>
        <w:jc w:val="both"/>
        <w:rPr>
          <w:rFonts w:asciiTheme="majorBidi" w:hAnsiTheme="majorBidi" w:cstheme="majorBidi"/>
          <w:color w:val="auto"/>
          <w:lang w:val="en-US"/>
        </w:rPr>
      </w:pPr>
      <w:r>
        <w:rPr>
          <w:rFonts w:asciiTheme="majorBidi" w:hAnsiTheme="majorBidi" w:cstheme="majorBidi"/>
          <w:color w:val="auto"/>
          <w:lang w:val="en-US"/>
        </w:rPr>
        <w:t xml:space="preserve">Ben Soltane H., </w:t>
      </w:r>
      <w:proofErr w:type="spellStart"/>
      <w:r>
        <w:rPr>
          <w:rFonts w:asciiTheme="majorBidi" w:hAnsiTheme="majorBidi" w:cstheme="majorBidi"/>
          <w:color w:val="auto"/>
          <w:lang w:val="en-US"/>
        </w:rPr>
        <w:t>Naoui</w:t>
      </w:r>
      <w:proofErr w:type="spellEnd"/>
      <w:r>
        <w:rPr>
          <w:rFonts w:asciiTheme="majorBidi" w:hAnsiTheme="majorBidi" w:cstheme="majorBidi"/>
          <w:color w:val="auto"/>
          <w:lang w:val="en-US"/>
        </w:rPr>
        <w:t xml:space="preserve"> K. and </w:t>
      </w:r>
      <w:proofErr w:type="spellStart"/>
      <w:r>
        <w:rPr>
          <w:rFonts w:asciiTheme="majorBidi" w:hAnsiTheme="majorBidi" w:cstheme="majorBidi"/>
          <w:color w:val="auto"/>
          <w:lang w:val="en-US"/>
        </w:rPr>
        <w:t>Alshammari</w:t>
      </w:r>
      <w:proofErr w:type="spellEnd"/>
      <w:r>
        <w:rPr>
          <w:rFonts w:asciiTheme="majorBidi" w:hAnsiTheme="majorBidi" w:cstheme="majorBidi"/>
          <w:color w:val="auto"/>
          <w:lang w:val="en-US"/>
        </w:rPr>
        <w:t xml:space="preserve"> A. (2022), “</w:t>
      </w:r>
      <w:r w:rsidRPr="00A54347">
        <w:rPr>
          <w:rFonts w:asciiTheme="majorBidi" w:hAnsiTheme="majorBidi" w:cstheme="majorBidi"/>
          <w:color w:val="auto"/>
          <w:lang w:val="en-US"/>
        </w:rPr>
        <w:t>International Journal of Advanced and Applied Sciences</w:t>
      </w:r>
      <w:r>
        <w:rPr>
          <w:rFonts w:asciiTheme="majorBidi" w:hAnsiTheme="majorBidi" w:cstheme="majorBidi"/>
          <w:color w:val="auto"/>
          <w:lang w:val="en-US"/>
        </w:rPr>
        <w:t xml:space="preserve">”, </w:t>
      </w:r>
      <w:r w:rsidRPr="00A54347">
        <w:rPr>
          <w:rFonts w:asciiTheme="majorBidi" w:hAnsiTheme="majorBidi" w:cstheme="majorBidi"/>
          <w:color w:val="auto"/>
          <w:lang w:val="en-US"/>
        </w:rPr>
        <w:t>Volume 9, Issue 2, Pages: 72-80</w:t>
      </w:r>
      <w:r>
        <w:rPr>
          <w:rFonts w:asciiTheme="majorBidi" w:hAnsiTheme="majorBidi" w:cstheme="majorBidi"/>
          <w:color w:val="auto"/>
          <w:lang w:val="en-US"/>
        </w:rPr>
        <w:t xml:space="preserve">, </w:t>
      </w:r>
      <w:r w:rsidRPr="00A54347">
        <w:rPr>
          <w:rFonts w:asciiTheme="majorBidi" w:hAnsiTheme="majorBidi" w:cstheme="majorBidi"/>
          <w:color w:val="auto"/>
          <w:lang w:val="en-US"/>
        </w:rPr>
        <w:t>https://doi.org/10.21833/ijaas.2022.02.008</w:t>
      </w:r>
    </w:p>
    <w:p w:rsidR="00B044F5" w:rsidRPr="007606D8" w:rsidRDefault="00B044F5" w:rsidP="00B044F5">
      <w:pPr>
        <w:pStyle w:val="Default"/>
        <w:numPr>
          <w:ilvl w:val="0"/>
          <w:numId w:val="1"/>
        </w:numPr>
        <w:jc w:val="both"/>
        <w:rPr>
          <w:rFonts w:asciiTheme="majorBidi" w:hAnsiTheme="majorBidi" w:cstheme="majorBidi"/>
          <w:color w:val="auto"/>
          <w:lang w:val="en-US"/>
        </w:rPr>
      </w:pPr>
      <w:proofErr w:type="spellStart"/>
      <w:r w:rsidRPr="007606D8">
        <w:rPr>
          <w:rFonts w:asciiTheme="majorBidi" w:hAnsiTheme="majorBidi" w:cstheme="majorBidi"/>
          <w:color w:val="auto"/>
          <w:lang w:val="en-US"/>
        </w:rPr>
        <w:t>Bongaerts</w:t>
      </w:r>
      <w:proofErr w:type="spellEnd"/>
      <w:r w:rsidRPr="007606D8">
        <w:rPr>
          <w:rFonts w:asciiTheme="majorBidi" w:hAnsiTheme="majorBidi" w:cstheme="majorBidi"/>
          <w:color w:val="auto"/>
          <w:lang w:val="en-US"/>
        </w:rPr>
        <w:t xml:space="preserve">, D., De Jong, F. and </w:t>
      </w:r>
      <w:proofErr w:type="spellStart"/>
      <w:r w:rsidRPr="007606D8">
        <w:rPr>
          <w:rFonts w:asciiTheme="majorBidi" w:hAnsiTheme="majorBidi" w:cstheme="majorBidi"/>
          <w:color w:val="auto"/>
          <w:lang w:val="en-US"/>
        </w:rPr>
        <w:t>Driessen</w:t>
      </w:r>
      <w:proofErr w:type="spellEnd"/>
      <w:r w:rsidRPr="007606D8">
        <w:rPr>
          <w:rFonts w:asciiTheme="majorBidi" w:hAnsiTheme="majorBidi" w:cstheme="majorBidi"/>
          <w:color w:val="auto"/>
          <w:lang w:val="en-US"/>
        </w:rPr>
        <w:t>, J. (2012) “An Asset Pricing Approach to Liquidity Effects in Corporate Bond Markets”. SSRN: 10.2139/ssrn.1762564.</w:t>
      </w:r>
    </w:p>
    <w:p w:rsidR="00B044F5" w:rsidRPr="007606D8" w:rsidRDefault="00B044F5" w:rsidP="00B044F5">
      <w:pPr>
        <w:pStyle w:val="Default"/>
        <w:numPr>
          <w:ilvl w:val="0"/>
          <w:numId w:val="1"/>
        </w:numPr>
        <w:jc w:val="both"/>
        <w:rPr>
          <w:rFonts w:asciiTheme="majorBidi" w:hAnsiTheme="majorBidi" w:cstheme="majorBidi"/>
          <w:color w:val="auto"/>
          <w:lang w:val="en-US"/>
        </w:rPr>
      </w:pPr>
      <w:r w:rsidRPr="007606D8">
        <w:rPr>
          <w:rFonts w:asciiTheme="majorBidi" w:hAnsiTheme="majorBidi" w:cstheme="majorBidi"/>
          <w:color w:val="auto"/>
          <w:lang w:val="en-US"/>
        </w:rPr>
        <w:t xml:space="preserve">Brennan M. J. and </w:t>
      </w:r>
      <w:proofErr w:type="spellStart"/>
      <w:r w:rsidRPr="007606D8">
        <w:rPr>
          <w:rFonts w:asciiTheme="majorBidi" w:hAnsiTheme="majorBidi" w:cstheme="majorBidi"/>
          <w:color w:val="auto"/>
          <w:lang w:val="en-US"/>
        </w:rPr>
        <w:t>Subrahmanyam</w:t>
      </w:r>
      <w:proofErr w:type="spellEnd"/>
      <w:r w:rsidRPr="007606D8">
        <w:rPr>
          <w:rFonts w:asciiTheme="majorBidi" w:hAnsiTheme="majorBidi" w:cstheme="majorBidi"/>
          <w:color w:val="auto"/>
          <w:lang w:val="en-US"/>
        </w:rPr>
        <w:t xml:space="preserve"> A</w:t>
      </w:r>
      <w:proofErr w:type="gramStart"/>
      <w:r w:rsidRPr="007606D8">
        <w:rPr>
          <w:rFonts w:asciiTheme="majorBidi" w:hAnsiTheme="majorBidi" w:cstheme="majorBidi"/>
          <w:color w:val="auto"/>
          <w:lang w:val="en-US"/>
        </w:rPr>
        <w:t>.(</w:t>
      </w:r>
      <w:proofErr w:type="gramEnd"/>
      <w:r w:rsidRPr="007606D8">
        <w:rPr>
          <w:rFonts w:asciiTheme="majorBidi" w:hAnsiTheme="majorBidi" w:cstheme="majorBidi"/>
          <w:color w:val="auto"/>
          <w:lang w:val="en-US"/>
        </w:rPr>
        <w:t>1996) «Market microstructure and asset pricing: On the compensation for illiquidity in stock returns », Journal of Financial Economics 41, 441-464.</w:t>
      </w:r>
    </w:p>
    <w:p w:rsidR="00B044F5" w:rsidRPr="007606D8" w:rsidRDefault="00B044F5" w:rsidP="00B044F5">
      <w:pPr>
        <w:pStyle w:val="Default"/>
        <w:numPr>
          <w:ilvl w:val="0"/>
          <w:numId w:val="1"/>
        </w:numPr>
        <w:jc w:val="both"/>
        <w:rPr>
          <w:rFonts w:asciiTheme="majorBidi" w:hAnsiTheme="majorBidi" w:cstheme="majorBidi"/>
          <w:color w:val="auto"/>
          <w:lang w:val="en-US"/>
        </w:rPr>
      </w:pPr>
      <w:proofErr w:type="spellStart"/>
      <w:r w:rsidRPr="007606D8">
        <w:rPr>
          <w:rFonts w:asciiTheme="majorBidi" w:hAnsiTheme="majorBidi" w:cstheme="majorBidi"/>
          <w:color w:val="auto"/>
          <w:lang w:val="en-US"/>
        </w:rPr>
        <w:t>Fama</w:t>
      </w:r>
      <w:proofErr w:type="spellEnd"/>
      <w:r w:rsidRPr="007606D8">
        <w:rPr>
          <w:rFonts w:asciiTheme="majorBidi" w:hAnsiTheme="majorBidi" w:cstheme="majorBidi"/>
          <w:color w:val="auto"/>
          <w:lang w:val="en-US"/>
        </w:rPr>
        <w:t xml:space="preserve"> E.F. &amp; French K.R. (1993), « Common risk factors in the returns on stocks and bonds », Journal of Financial Economics (33), 3- 56.</w:t>
      </w:r>
    </w:p>
    <w:p w:rsidR="00B044F5" w:rsidRPr="007606D8" w:rsidRDefault="00B044F5" w:rsidP="00B044F5">
      <w:pPr>
        <w:pStyle w:val="Default"/>
        <w:numPr>
          <w:ilvl w:val="0"/>
          <w:numId w:val="1"/>
        </w:numPr>
        <w:jc w:val="both"/>
        <w:rPr>
          <w:rFonts w:asciiTheme="majorBidi" w:hAnsiTheme="majorBidi" w:cstheme="majorBidi"/>
          <w:color w:val="auto"/>
          <w:lang w:val="en-US"/>
        </w:rPr>
      </w:pPr>
      <w:proofErr w:type="spellStart"/>
      <w:r w:rsidRPr="007606D8">
        <w:rPr>
          <w:rFonts w:asciiTheme="majorBidi" w:hAnsiTheme="majorBidi" w:cstheme="majorBidi"/>
          <w:color w:val="auto"/>
          <w:lang w:val="en-US"/>
        </w:rPr>
        <w:t>Florackis</w:t>
      </w:r>
      <w:proofErr w:type="spellEnd"/>
      <w:r w:rsidRPr="007606D8">
        <w:rPr>
          <w:rFonts w:asciiTheme="majorBidi" w:hAnsiTheme="majorBidi" w:cstheme="majorBidi"/>
          <w:color w:val="auto"/>
          <w:lang w:val="en-US"/>
        </w:rPr>
        <w:t xml:space="preserve"> C., </w:t>
      </w:r>
      <w:proofErr w:type="spellStart"/>
      <w:r w:rsidRPr="007606D8">
        <w:rPr>
          <w:rFonts w:asciiTheme="majorBidi" w:hAnsiTheme="majorBidi" w:cstheme="majorBidi"/>
          <w:color w:val="auto"/>
          <w:lang w:val="en-US"/>
        </w:rPr>
        <w:t>Kontonikas</w:t>
      </w:r>
      <w:proofErr w:type="spellEnd"/>
      <w:r w:rsidRPr="007606D8">
        <w:rPr>
          <w:rFonts w:asciiTheme="majorBidi" w:hAnsiTheme="majorBidi" w:cstheme="majorBidi"/>
          <w:color w:val="auto"/>
          <w:lang w:val="en-US"/>
        </w:rPr>
        <w:t xml:space="preserve"> A., and </w:t>
      </w:r>
      <w:proofErr w:type="spellStart"/>
      <w:r w:rsidRPr="007606D8">
        <w:rPr>
          <w:rFonts w:asciiTheme="majorBidi" w:hAnsiTheme="majorBidi" w:cstheme="majorBidi"/>
          <w:color w:val="auto"/>
          <w:lang w:val="en-US"/>
        </w:rPr>
        <w:t>Kostakis</w:t>
      </w:r>
      <w:proofErr w:type="spellEnd"/>
      <w:r w:rsidRPr="007606D8">
        <w:rPr>
          <w:rFonts w:asciiTheme="majorBidi" w:hAnsiTheme="majorBidi" w:cstheme="majorBidi"/>
          <w:color w:val="auto"/>
          <w:lang w:val="en-US"/>
        </w:rPr>
        <w:t xml:space="preserve"> A. (2014) “Stock market liquidity and macro-liquidity shocks: Evidence from the 2007–2009 financial crisis”, Journal of International Money and Finance, 44, 97-117.</w:t>
      </w:r>
    </w:p>
    <w:p w:rsidR="00B044F5" w:rsidRPr="007606D8" w:rsidRDefault="00B044F5" w:rsidP="00B044F5">
      <w:pPr>
        <w:pStyle w:val="Default"/>
        <w:numPr>
          <w:ilvl w:val="0"/>
          <w:numId w:val="1"/>
        </w:numPr>
        <w:jc w:val="both"/>
        <w:rPr>
          <w:rFonts w:asciiTheme="majorBidi" w:hAnsiTheme="majorBidi" w:cstheme="majorBidi"/>
          <w:lang w:val="en-US"/>
        </w:rPr>
      </w:pPr>
      <w:proofErr w:type="spellStart"/>
      <w:r w:rsidRPr="007606D8">
        <w:rPr>
          <w:rFonts w:asciiTheme="majorBidi" w:hAnsiTheme="majorBidi" w:cstheme="majorBidi"/>
          <w:lang w:val="en-US"/>
        </w:rPr>
        <w:t>Gaoxiu</w:t>
      </w:r>
      <w:proofErr w:type="spellEnd"/>
      <w:r w:rsidRPr="007606D8">
        <w:rPr>
          <w:rFonts w:asciiTheme="majorBidi" w:hAnsiTheme="majorBidi" w:cstheme="majorBidi"/>
          <w:lang w:val="en-US"/>
        </w:rPr>
        <w:t xml:space="preserve"> </w:t>
      </w:r>
      <w:proofErr w:type="spellStart"/>
      <w:r w:rsidRPr="007606D8">
        <w:rPr>
          <w:rFonts w:asciiTheme="majorBidi" w:hAnsiTheme="majorBidi" w:cstheme="majorBidi"/>
          <w:lang w:val="en-US"/>
        </w:rPr>
        <w:t>Qiao</w:t>
      </w:r>
      <w:proofErr w:type="spellEnd"/>
      <w:r w:rsidRPr="007606D8">
        <w:rPr>
          <w:rFonts w:asciiTheme="majorBidi" w:hAnsiTheme="majorBidi" w:cstheme="majorBidi"/>
          <w:lang w:val="en-US"/>
        </w:rPr>
        <w:t xml:space="preserve">, </w:t>
      </w:r>
      <w:proofErr w:type="spellStart"/>
      <w:r w:rsidRPr="007606D8">
        <w:rPr>
          <w:rFonts w:asciiTheme="majorBidi" w:hAnsiTheme="majorBidi" w:cstheme="majorBidi"/>
          <w:lang w:val="en-US"/>
        </w:rPr>
        <w:t>Yuxin</w:t>
      </w:r>
      <w:proofErr w:type="spellEnd"/>
      <w:r w:rsidRPr="007606D8">
        <w:rPr>
          <w:rFonts w:asciiTheme="majorBidi" w:hAnsiTheme="majorBidi" w:cstheme="majorBidi"/>
          <w:lang w:val="en-US"/>
        </w:rPr>
        <w:t xml:space="preserve"> </w:t>
      </w:r>
      <w:proofErr w:type="spellStart"/>
      <w:r w:rsidRPr="007606D8">
        <w:rPr>
          <w:rFonts w:asciiTheme="majorBidi" w:hAnsiTheme="majorBidi" w:cstheme="majorBidi"/>
          <w:lang w:val="en-US"/>
        </w:rPr>
        <w:t>Teng</w:t>
      </w:r>
      <w:proofErr w:type="spellEnd"/>
      <w:r w:rsidRPr="007606D8">
        <w:rPr>
          <w:rFonts w:asciiTheme="majorBidi" w:hAnsiTheme="majorBidi" w:cstheme="majorBidi"/>
          <w:lang w:val="en-US"/>
        </w:rPr>
        <w:t xml:space="preserve">, </w:t>
      </w:r>
      <w:proofErr w:type="spellStart"/>
      <w:r w:rsidRPr="007606D8">
        <w:rPr>
          <w:rFonts w:asciiTheme="majorBidi" w:hAnsiTheme="majorBidi" w:cstheme="majorBidi"/>
          <w:lang w:val="en-US"/>
        </w:rPr>
        <w:t>Yanyan</w:t>
      </w:r>
      <w:proofErr w:type="spellEnd"/>
      <w:r w:rsidRPr="007606D8">
        <w:rPr>
          <w:rFonts w:asciiTheme="majorBidi" w:hAnsiTheme="majorBidi" w:cstheme="majorBidi"/>
          <w:lang w:val="en-US"/>
        </w:rPr>
        <w:t xml:space="preserve"> Xu and Lu Wang (2020) “The cross-market dynamic effects of liquidity on volatility: evidence from Chinese stock index and futures markets”, Applied Economics, 52 (1), 85-99.</w:t>
      </w:r>
    </w:p>
    <w:p w:rsidR="00B044F5" w:rsidRPr="007606D8" w:rsidRDefault="00B044F5" w:rsidP="00B044F5">
      <w:pPr>
        <w:pStyle w:val="Default"/>
        <w:numPr>
          <w:ilvl w:val="0"/>
          <w:numId w:val="1"/>
        </w:numPr>
        <w:jc w:val="both"/>
        <w:rPr>
          <w:rFonts w:asciiTheme="majorBidi" w:hAnsiTheme="majorBidi" w:cstheme="majorBidi"/>
          <w:lang w:val="en-US"/>
        </w:rPr>
      </w:pPr>
      <w:proofErr w:type="spellStart"/>
      <w:r w:rsidRPr="007606D8">
        <w:rPr>
          <w:rFonts w:asciiTheme="majorBidi" w:hAnsiTheme="majorBidi" w:cstheme="majorBidi"/>
          <w:lang w:val="en-US"/>
        </w:rPr>
        <w:t>Goyenko</w:t>
      </w:r>
      <w:proofErr w:type="spellEnd"/>
      <w:r w:rsidRPr="007606D8">
        <w:rPr>
          <w:rFonts w:asciiTheme="majorBidi" w:hAnsiTheme="majorBidi" w:cstheme="majorBidi"/>
          <w:lang w:val="en-US"/>
        </w:rPr>
        <w:t xml:space="preserve"> R. Y., Holden C.W.</w:t>
      </w:r>
      <w:proofErr w:type="gramStart"/>
      <w:r w:rsidRPr="007606D8">
        <w:rPr>
          <w:rFonts w:asciiTheme="majorBidi" w:hAnsiTheme="majorBidi" w:cstheme="majorBidi"/>
          <w:lang w:val="en-US"/>
        </w:rPr>
        <w:t>,.</w:t>
      </w:r>
      <w:proofErr w:type="spellStart"/>
      <w:proofErr w:type="gramEnd"/>
      <w:r w:rsidRPr="007606D8">
        <w:rPr>
          <w:rFonts w:asciiTheme="majorBidi" w:hAnsiTheme="majorBidi" w:cstheme="majorBidi"/>
          <w:lang w:val="en-US"/>
        </w:rPr>
        <w:t>Trzcinka</w:t>
      </w:r>
      <w:proofErr w:type="spellEnd"/>
      <w:r w:rsidRPr="007606D8">
        <w:rPr>
          <w:rFonts w:asciiTheme="majorBidi" w:hAnsiTheme="majorBidi" w:cstheme="majorBidi"/>
          <w:lang w:val="en-US"/>
        </w:rPr>
        <w:t xml:space="preserve"> C.A. (2009) « Do liquidity measures measure liquidity ? », Journal of Financial Economics 92, 153–181.</w:t>
      </w:r>
    </w:p>
    <w:p w:rsidR="00B044F5" w:rsidRPr="007606D8" w:rsidRDefault="00B044F5" w:rsidP="00B044F5">
      <w:pPr>
        <w:pStyle w:val="Default"/>
        <w:numPr>
          <w:ilvl w:val="0"/>
          <w:numId w:val="1"/>
        </w:numPr>
        <w:jc w:val="both"/>
        <w:rPr>
          <w:rFonts w:asciiTheme="majorBidi" w:hAnsiTheme="majorBidi" w:cstheme="majorBidi"/>
          <w:lang w:val="en-US"/>
        </w:rPr>
      </w:pPr>
      <w:r w:rsidRPr="007606D8">
        <w:rPr>
          <w:rFonts w:asciiTheme="majorBidi" w:hAnsiTheme="majorBidi" w:cstheme="majorBidi"/>
          <w:lang w:val="en-US"/>
        </w:rPr>
        <w:t xml:space="preserve">Kyle A. S. (1985), « Continuous Auctions and Insider Trading », </w:t>
      </w:r>
      <w:proofErr w:type="spellStart"/>
      <w:r w:rsidRPr="007606D8">
        <w:rPr>
          <w:rFonts w:asciiTheme="majorBidi" w:hAnsiTheme="majorBidi" w:cstheme="majorBidi"/>
          <w:lang w:val="en-US"/>
        </w:rPr>
        <w:t>Econometrica</w:t>
      </w:r>
      <w:proofErr w:type="spellEnd"/>
      <w:r w:rsidRPr="007606D8">
        <w:rPr>
          <w:rFonts w:asciiTheme="majorBidi" w:hAnsiTheme="majorBidi" w:cstheme="majorBidi"/>
          <w:lang w:val="en-US"/>
        </w:rPr>
        <w:t>, 53 (6), 1315-1336.</w:t>
      </w:r>
    </w:p>
    <w:p w:rsidR="00B044F5" w:rsidRPr="007606D8" w:rsidRDefault="00B044F5" w:rsidP="00B044F5">
      <w:pPr>
        <w:pStyle w:val="Default"/>
        <w:numPr>
          <w:ilvl w:val="0"/>
          <w:numId w:val="1"/>
        </w:numPr>
        <w:jc w:val="both"/>
        <w:rPr>
          <w:rFonts w:asciiTheme="majorBidi" w:hAnsiTheme="majorBidi" w:cstheme="majorBidi"/>
          <w:lang w:val="en-US"/>
        </w:rPr>
      </w:pPr>
      <w:r w:rsidRPr="007606D8">
        <w:rPr>
          <w:rFonts w:asciiTheme="majorBidi" w:hAnsiTheme="majorBidi" w:cstheme="majorBidi"/>
          <w:lang w:val="en-US"/>
        </w:rPr>
        <w:t>Lee K (2011) «The world price of liquidity risk», Journal of Financial Economics</w:t>
      </w:r>
      <w:proofErr w:type="gramStart"/>
      <w:r w:rsidRPr="007606D8">
        <w:rPr>
          <w:rFonts w:asciiTheme="majorBidi" w:hAnsiTheme="majorBidi" w:cstheme="majorBidi"/>
          <w:lang w:val="en-US"/>
        </w:rPr>
        <w:t>,99,136</w:t>
      </w:r>
      <w:proofErr w:type="gramEnd"/>
      <w:r w:rsidRPr="007606D8">
        <w:rPr>
          <w:rFonts w:asciiTheme="majorBidi" w:hAnsiTheme="majorBidi" w:cstheme="majorBidi"/>
          <w:lang w:val="en-US"/>
        </w:rPr>
        <w:t>-161.</w:t>
      </w:r>
    </w:p>
    <w:p w:rsidR="00B044F5" w:rsidRPr="007606D8" w:rsidRDefault="00B044F5" w:rsidP="00B044F5">
      <w:pPr>
        <w:pStyle w:val="Default"/>
        <w:numPr>
          <w:ilvl w:val="0"/>
          <w:numId w:val="1"/>
        </w:numPr>
        <w:jc w:val="both"/>
        <w:rPr>
          <w:rFonts w:asciiTheme="majorBidi" w:hAnsiTheme="majorBidi" w:cstheme="majorBidi"/>
          <w:lang w:val="en-US"/>
        </w:rPr>
      </w:pPr>
      <w:r w:rsidRPr="007606D8">
        <w:rPr>
          <w:rFonts w:asciiTheme="majorBidi" w:hAnsiTheme="majorBidi" w:cstheme="majorBidi"/>
          <w:lang w:val="en-US"/>
        </w:rPr>
        <w:t xml:space="preserve">Lou X. and Shu T. (2017) « Price Impact or Trading Volume: Why is the </w:t>
      </w:r>
      <w:proofErr w:type="spellStart"/>
      <w:r w:rsidRPr="007606D8">
        <w:rPr>
          <w:rFonts w:asciiTheme="majorBidi" w:hAnsiTheme="majorBidi" w:cstheme="majorBidi"/>
          <w:lang w:val="en-US"/>
        </w:rPr>
        <w:t>Amihud</w:t>
      </w:r>
      <w:proofErr w:type="spellEnd"/>
      <w:r w:rsidRPr="007606D8">
        <w:rPr>
          <w:rFonts w:asciiTheme="majorBidi" w:hAnsiTheme="majorBidi" w:cstheme="majorBidi"/>
          <w:lang w:val="en-US"/>
        </w:rPr>
        <w:t xml:space="preserve"> (2002) Illiquidity Measure Priced?</w:t>
      </w:r>
      <w:proofErr w:type="gramStart"/>
      <w:r w:rsidRPr="007606D8">
        <w:rPr>
          <w:rFonts w:asciiTheme="majorBidi" w:hAnsiTheme="majorBidi" w:cstheme="majorBidi"/>
          <w:lang w:val="en-US"/>
        </w:rPr>
        <w:t>”,</w:t>
      </w:r>
      <w:proofErr w:type="gramEnd"/>
      <w:r w:rsidRPr="007606D8">
        <w:rPr>
          <w:rFonts w:asciiTheme="majorBidi" w:hAnsiTheme="majorBidi" w:cstheme="majorBidi"/>
          <w:lang w:val="en-US"/>
        </w:rPr>
        <w:t xml:space="preserve"> The Review of Financial Studies, 30 (12), 4481–4520.</w:t>
      </w:r>
    </w:p>
    <w:p w:rsidR="00B044F5" w:rsidRPr="00B044F5" w:rsidRDefault="00B044F5" w:rsidP="00B044F5">
      <w:pPr>
        <w:pStyle w:val="ListParagraph"/>
        <w:numPr>
          <w:ilvl w:val="0"/>
          <w:numId w:val="1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proofErr w:type="spellStart"/>
      <w:r w:rsidRPr="00B044F5">
        <w:rPr>
          <w:rFonts w:asciiTheme="majorBidi" w:hAnsiTheme="majorBidi" w:cstheme="majorBidi"/>
          <w:sz w:val="24"/>
          <w:szCs w:val="24"/>
        </w:rPr>
        <w:t>Marozva</w:t>
      </w:r>
      <w:proofErr w:type="spellEnd"/>
      <w:r w:rsidRPr="00B044F5">
        <w:rPr>
          <w:rFonts w:asciiTheme="majorBidi" w:hAnsiTheme="majorBidi" w:cstheme="majorBidi"/>
          <w:sz w:val="24"/>
          <w:szCs w:val="24"/>
        </w:rPr>
        <w:t xml:space="preserve"> G. (2019) “Liquidity and Stock Returns: </w:t>
      </w:r>
      <w:proofErr w:type="gramStart"/>
      <w:r w:rsidRPr="00B044F5">
        <w:rPr>
          <w:rFonts w:asciiTheme="majorBidi" w:hAnsiTheme="majorBidi" w:cstheme="majorBidi"/>
          <w:sz w:val="24"/>
          <w:szCs w:val="24"/>
        </w:rPr>
        <w:t>New Evidence From Johannesburg Stock</w:t>
      </w:r>
      <w:proofErr w:type="gramEnd"/>
      <w:r w:rsidRPr="00B044F5">
        <w:rPr>
          <w:rFonts w:asciiTheme="majorBidi" w:hAnsiTheme="majorBidi" w:cstheme="majorBidi"/>
          <w:sz w:val="24"/>
          <w:szCs w:val="24"/>
        </w:rPr>
        <w:t xml:space="preserve"> Exchange”, The Journal of Developing Areas, 53, 2, doi:10.1353/jda.2019.0022.</w:t>
      </w:r>
    </w:p>
    <w:p w:rsidR="00B044F5" w:rsidRPr="00B044F5" w:rsidRDefault="00B044F5" w:rsidP="00B044F5">
      <w:pPr>
        <w:pStyle w:val="ListParagraph"/>
        <w:numPr>
          <w:ilvl w:val="0"/>
          <w:numId w:val="1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B044F5">
        <w:rPr>
          <w:rFonts w:asciiTheme="majorBidi" w:hAnsiTheme="majorBidi" w:cstheme="majorBidi"/>
          <w:sz w:val="24"/>
          <w:szCs w:val="24"/>
        </w:rPr>
        <w:t xml:space="preserve">Pastor L. and </w:t>
      </w:r>
      <w:proofErr w:type="spellStart"/>
      <w:r w:rsidRPr="00B044F5">
        <w:rPr>
          <w:rFonts w:asciiTheme="majorBidi" w:hAnsiTheme="majorBidi" w:cstheme="majorBidi"/>
          <w:sz w:val="24"/>
          <w:szCs w:val="24"/>
        </w:rPr>
        <w:t>Stambaugh</w:t>
      </w:r>
      <w:proofErr w:type="spellEnd"/>
      <w:r w:rsidRPr="00B044F5">
        <w:rPr>
          <w:rFonts w:asciiTheme="majorBidi" w:hAnsiTheme="majorBidi" w:cstheme="majorBidi"/>
          <w:sz w:val="24"/>
          <w:szCs w:val="24"/>
        </w:rPr>
        <w:t xml:space="preserve"> R. F. (2003) « Liquidity risk and expected stock return », The Journal of Political Economy, 111 (3), 642-685.</w:t>
      </w:r>
    </w:p>
    <w:p w:rsidR="00B044F5" w:rsidRPr="00B044F5" w:rsidRDefault="00B044F5" w:rsidP="00B044F5">
      <w:pPr>
        <w:pStyle w:val="ListParagraph"/>
        <w:numPr>
          <w:ilvl w:val="0"/>
          <w:numId w:val="1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proofErr w:type="spellStart"/>
      <w:r w:rsidRPr="00B044F5">
        <w:rPr>
          <w:rFonts w:asciiTheme="majorBidi" w:hAnsiTheme="majorBidi" w:cstheme="majorBidi"/>
          <w:sz w:val="24"/>
          <w:szCs w:val="24"/>
        </w:rPr>
        <w:t>Tadawul</w:t>
      </w:r>
      <w:proofErr w:type="spellEnd"/>
      <w:r w:rsidRPr="00B044F5">
        <w:rPr>
          <w:rFonts w:asciiTheme="majorBidi" w:hAnsiTheme="majorBidi" w:cstheme="majorBidi"/>
          <w:sz w:val="24"/>
          <w:szCs w:val="24"/>
        </w:rPr>
        <w:t xml:space="preserve"> listing guide (2019).</w:t>
      </w:r>
    </w:p>
    <w:p w:rsidR="00B044F5" w:rsidRPr="00B044F5" w:rsidRDefault="00B044F5" w:rsidP="00B044F5">
      <w:pPr>
        <w:pStyle w:val="ListParagraph"/>
        <w:numPr>
          <w:ilvl w:val="0"/>
          <w:numId w:val="1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proofErr w:type="spellStart"/>
      <w:r w:rsidRPr="00B044F5">
        <w:rPr>
          <w:rFonts w:asciiTheme="majorBidi" w:hAnsiTheme="majorBidi" w:cstheme="majorBidi"/>
          <w:sz w:val="24"/>
          <w:szCs w:val="24"/>
        </w:rPr>
        <w:t>Tadawul</w:t>
      </w:r>
      <w:proofErr w:type="spellEnd"/>
      <w:r w:rsidRPr="00B044F5">
        <w:rPr>
          <w:rFonts w:asciiTheme="majorBidi" w:hAnsiTheme="majorBidi" w:cstheme="majorBidi"/>
          <w:sz w:val="24"/>
          <w:szCs w:val="24"/>
        </w:rPr>
        <w:t xml:space="preserve">, Capital market overview (2020), </w:t>
      </w:r>
      <w:hyperlink r:id="rId10" w:history="1">
        <w:r w:rsidRPr="00B044F5">
          <w:rPr>
            <w:rStyle w:val="Hyperlink"/>
            <w:rFonts w:asciiTheme="majorBidi" w:hAnsiTheme="majorBidi" w:cstheme="majorBidi"/>
            <w:sz w:val="24"/>
            <w:szCs w:val="24"/>
          </w:rPr>
          <w:t>www.tadawul.com.sa</w:t>
        </w:r>
      </w:hyperlink>
    </w:p>
    <w:p w:rsidR="00B044F5" w:rsidRPr="00B044F5" w:rsidRDefault="00B044F5" w:rsidP="00B044F5">
      <w:pPr>
        <w:pStyle w:val="ListParagraph"/>
        <w:numPr>
          <w:ilvl w:val="0"/>
          <w:numId w:val="1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proofErr w:type="spellStart"/>
      <w:r w:rsidRPr="00B044F5">
        <w:rPr>
          <w:rFonts w:asciiTheme="majorBidi" w:hAnsiTheme="majorBidi" w:cstheme="majorBidi"/>
          <w:sz w:val="24"/>
          <w:szCs w:val="24"/>
        </w:rPr>
        <w:t>Tadawul</w:t>
      </w:r>
      <w:proofErr w:type="spellEnd"/>
      <w:r w:rsidRPr="00B044F5">
        <w:rPr>
          <w:rFonts w:asciiTheme="majorBidi" w:hAnsiTheme="majorBidi" w:cstheme="majorBidi"/>
          <w:sz w:val="24"/>
          <w:szCs w:val="24"/>
        </w:rPr>
        <w:t xml:space="preserve">, New classification industry (2017), </w:t>
      </w:r>
      <w:hyperlink r:id="rId11" w:history="1">
        <w:r w:rsidRPr="00B044F5">
          <w:rPr>
            <w:rStyle w:val="Hyperlink"/>
            <w:rFonts w:asciiTheme="majorBidi" w:hAnsiTheme="majorBidi" w:cstheme="majorBidi"/>
            <w:sz w:val="24"/>
            <w:szCs w:val="24"/>
          </w:rPr>
          <w:t>www.tadawul.com.sa</w:t>
        </w:r>
      </w:hyperlink>
    </w:p>
    <w:p w:rsidR="00B044F5" w:rsidRPr="00B044F5" w:rsidRDefault="00B044F5" w:rsidP="00B044F5">
      <w:pPr>
        <w:pStyle w:val="ListParagraph"/>
        <w:numPr>
          <w:ilvl w:val="0"/>
          <w:numId w:val="1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B044F5">
        <w:rPr>
          <w:rFonts w:asciiTheme="majorBidi" w:hAnsiTheme="majorBidi" w:cstheme="majorBidi"/>
          <w:sz w:val="24"/>
          <w:szCs w:val="24"/>
        </w:rPr>
        <w:t>Watanabe and Watanabe (2008), » Time-Varying Liquidity Risk and the Cross Section of Stock Returns », The Review of Financial Studies, 21 (6), 2449-2486.</w:t>
      </w:r>
    </w:p>
    <w:p w:rsidR="006B3217" w:rsidRDefault="00607A26" w:rsidP="00194BF9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194BF9">
        <w:rPr>
          <w:rFonts w:ascii="Calibri"/>
          <w:noProof/>
          <w:sz w:val="24"/>
          <w:szCs w:val="24"/>
          <w:lang w:val="en-US"/>
        </w:rPr>
        <mc:AlternateContent>
          <mc:Choice Requires="wpg">
            <w:drawing>
              <wp:inline distT="0" distB="0" distL="0" distR="0" wp14:anchorId="5E148550" wp14:editId="544B4619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FABD85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634030" w:rsidRPr="00194BF9" w:rsidRDefault="00634030" w:rsidP="00194BF9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6B3217" w:rsidRDefault="006B3217" w:rsidP="00194BF9">
      <w:pPr>
        <w:autoSpaceDE w:val="0"/>
        <w:autoSpaceDN w:val="0"/>
        <w:adjustRightInd w:val="0"/>
        <w:spacing w:line="240" w:lineRule="auto"/>
        <w:rPr>
          <w:noProof/>
          <w:sz w:val="24"/>
          <w:szCs w:val="24"/>
          <w:lang w:val="en-US"/>
        </w:rPr>
      </w:pPr>
    </w:p>
    <w:p w:rsidR="00634030" w:rsidRDefault="00634030" w:rsidP="00194BF9">
      <w:pPr>
        <w:autoSpaceDE w:val="0"/>
        <w:autoSpaceDN w:val="0"/>
        <w:adjustRightInd w:val="0"/>
        <w:spacing w:line="240" w:lineRule="auto"/>
        <w:rPr>
          <w:noProof/>
          <w:sz w:val="24"/>
          <w:szCs w:val="24"/>
          <w:lang w:val="en-US"/>
        </w:rPr>
      </w:pPr>
    </w:p>
    <w:p w:rsidR="00634030" w:rsidRPr="00194BF9" w:rsidRDefault="00634030" w:rsidP="00194BF9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bookmarkStart w:id="0" w:name="_GoBack"/>
      <w:bookmarkEnd w:id="0"/>
    </w:p>
    <w:p w:rsidR="006B3217" w:rsidRPr="00194BF9" w:rsidRDefault="006B3217" w:rsidP="00194BF9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194BF9">
        <w:rPr>
          <w:rFonts w:ascii="Times New Roman" w:eastAsia="Times New Roman" w:hAnsi="Times New Roman" w:cs="Times New Roman"/>
          <w:b/>
          <w:noProof/>
          <w:color w:val="E36C0A" w:themeColor="accent6" w:themeShade="BF"/>
          <w:sz w:val="24"/>
          <w:szCs w:val="24"/>
        </w:rPr>
        <w:lastRenderedPageBreak/>
        <w:t>Biography:</w:t>
      </w:r>
      <w:r w:rsidRPr="00194BF9">
        <w:rPr>
          <w:rFonts w:ascii="Times New Roman" w:eastAsia="Times New Roman" w:hAnsi="Times New Roman" w:cs="Times New Roman"/>
          <w:noProof/>
          <w:color w:val="E36C0A" w:themeColor="accent6" w:themeShade="BF"/>
          <w:sz w:val="24"/>
          <w:szCs w:val="24"/>
        </w:rPr>
        <w:t xml:space="preserve"> </w:t>
      </w:r>
      <w:r w:rsidRPr="00194BF9">
        <w:rPr>
          <w:rFonts w:ascii="Times New Roman" w:eastAsia="Times New Roman" w:hAnsi="Times New Roman" w:cs="Times New Roman"/>
          <w:noProof/>
          <w:sz w:val="24"/>
          <w:szCs w:val="24"/>
        </w:rPr>
        <w:t>(100 -200 words)</w:t>
      </w:r>
    </w:p>
    <w:p w:rsidR="006B3217" w:rsidRPr="00194BF9" w:rsidRDefault="00A54347" w:rsidP="0063403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H</w:t>
      </w:r>
      <w:r w:rsidR="00634030" w:rsidRPr="00634030">
        <w:rPr>
          <w:rFonts w:ascii="Times New Roman" w:eastAsia="Calibri" w:hAnsi="Times New Roman" w:cs="Times New Roman"/>
          <w:sz w:val="24"/>
          <w:szCs w:val="24"/>
          <w:lang w:val="en-US"/>
        </w:rPr>
        <w:t>é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la Ben Soltane is an Assistant professor at the College of Business Administration in the University of Ha’il (Kingdom of Saudi Arabia). She is a doctor in Finance</w:t>
      </w:r>
      <w:r w:rsidR="00A83C6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She is </w:t>
      </w:r>
      <w:r w:rsidR="00A5373E">
        <w:rPr>
          <w:rFonts w:ascii="Times New Roman" w:eastAsia="Calibri" w:hAnsi="Times New Roman" w:cs="Times New Roman"/>
          <w:sz w:val="24"/>
          <w:szCs w:val="24"/>
          <w:lang w:val="en-US"/>
        </w:rPr>
        <w:t>has also a diploma of</w:t>
      </w:r>
      <w:r w:rsidR="00A83C6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financial engineer</w:t>
      </w:r>
      <w:r w:rsidR="00A5373E">
        <w:rPr>
          <w:rFonts w:ascii="Times New Roman" w:eastAsia="Calibri" w:hAnsi="Times New Roman" w:cs="Times New Roman"/>
          <w:sz w:val="24"/>
          <w:szCs w:val="24"/>
          <w:lang w:val="en-US"/>
        </w:rPr>
        <w:t>ing</w:t>
      </w:r>
      <w:r w:rsidR="00A83C6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 </w:t>
      </w:r>
      <w:r w:rsidR="00634030">
        <w:rPr>
          <w:rFonts w:ascii="Times New Roman" w:eastAsia="Calibri" w:hAnsi="Times New Roman" w:cs="Times New Roman"/>
          <w:sz w:val="24"/>
          <w:szCs w:val="24"/>
          <w:lang w:val="en-US"/>
        </w:rPr>
        <w:t>H</w:t>
      </w:r>
      <w:r w:rsidR="00634030" w:rsidRPr="00634030">
        <w:rPr>
          <w:rFonts w:ascii="Times New Roman" w:eastAsia="Calibri" w:hAnsi="Times New Roman" w:cs="Times New Roman"/>
          <w:sz w:val="24"/>
          <w:szCs w:val="24"/>
          <w:lang w:val="en-US"/>
        </w:rPr>
        <w:t>é</w:t>
      </w:r>
      <w:r w:rsidR="0063403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la </w:t>
      </w:r>
      <w:r w:rsidR="00A5373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has 7 years of practice as a lecturer in public universities before becoming assistant professor. </w:t>
      </w:r>
      <w:r w:rsidR="00A5373E" w:rsidRPr="00A5373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She has supervised research dissertations for students in a </w:t>
      </w:r>
      <w:r w:rsidR="00A5373E">
        <w:rPr>
          <w:rFonts w:ascii="Times New Roman" w:eastAsia="Calibri" w:hAnsi="Times New Roman" w:cs="Times New Roman"/>
          <w:sz w:val="24"/>
          <w:szCs w:val="24"/>
          <w:lang w:val="en-US"/>
        </w:rPr>
        <w:t>bachelor’s</w:t>
      </w:r>
      <w:r w:rsidR="00A5373E" w:rsidRPr="00A5373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degree in finance</w:t>
      </w:r>
      <w:r w:rsidR="00A5373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She published researches in several journals (international journal of Finance and Economics, </w:t>
      </w:r>
      <w:r w:rsidR="00A5373E" w:rsidRPr="00A5373E">
        <w:rPr>
          <w:rFonts w:ascii="Times New Roman" w:eastAsia="Calibri" w:hAnsi="Times New Roman" w:cs="Times New Roman"/>
          <w:sz w:val="24"/>
          <w:szCs w:val="24"/>
          <w:lang w:val="en-US"/>
        </w:rPr>
        <w:t>International Journal o</w:t>
      </w:r>
      <w:r w:rsidR="00A5373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f Advanced and Applied Sciences, journal of Public Affairs, etc…). She also participated in international conferences, as a speaker in the </w:t>
      </w:r>
      <w:proofErr w:type="gramStart"/>
      <w:r w:rsidR="00A5373E">
        <w:rPr>
          <w:rFonts w:ascii="Times New Roman" w:eastAsia="Calibri" w:hAnsi="Times New Roman" w:cs="Times New Roman"/>
          <w:sz w:val="24"/>
          <w:szCs w:val="24"/>
          <w:lang w:val="en-US"/>
        </w:rPr>
        <w:t>7</w:t>
      </w:r>
      <w:r w:rsidR="00A5373E" w:rsidRPr="00A5373E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th</w:t>
      </w:r>
      <w:proofErr w:type="gramEnd"/>
      <w:r w:rsidR="00A5373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Asia International Conference 2021, as a presenter in </w:t>
      </w:r>
      <w:r w:rsidR="00A5373E" w:rsidRPr="00A5373E">
        <w:rPr>
          <w:rFonts w:ascii="Times New Roman" w:eastAsia="Calibri" w:hAnsi="Times New Roman" w:cs="Times New Roman"/>
          <w:sz w:val="24"/>
          <w:szCs w:val="24"/>
          <w:lang w:val="en-US"/>
        </w:rPr>
        <w:t>22</w:t>
      </w:r>
      <w:r w:rsidR="00A970ED" w:rsidRPr="00A970ED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nd</w:t>
      </w:r>
      <w:r w:rsidR="00A970E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A5373E" w:rsidRPr="00A5373E">
        <w:rPr>
          <w:rFonts w:ascii="Times New Roman" w:eastAsia="Calibri" w:hAnsi="Times New Roman" w:cs="Times New Roman"/>
          <w:sz w:val="24"/>
          <w:szCs w:val="24"/>
          <w:lang w:val="en-US"/>
        </w:rPr>
        <w:t>Confer</w:t>
      </w:r>
      <w:r w:rsidR="00A970ED">
        <w:rPr>
          <w:rFonts w:ascii="Times New Roman" w:eastAsia="Calibri" w:hAnsi="Times New Roman" w:cs="Times New Roman"/>
          <w:sz w:val="24"/>
          <w:szCs w:val="24"/>
          <w:lang w:val="en-US"/>
        </w:rPr>
        <w:t>ence on International Economics in Spain, in 1st Week Conference of</w:t>
      </w:r>
      <w:r w:rsidR="00A970ED" w:rsidRPr="00A970E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Group ESC-PAU</w:t>
      </w:r>
      <w:r w:rsidR="00A970E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France, and others. </w:t>
      </w:r>
      <w:r w:rsidR="00634030">
        <w:rPr>
          <w:rFonts w:ascii="Times New Roman" w:eastAsia="Calibri" w:hAnsi="Times New Roman" w:cs="Times New Roman"/>
          <w:sz w:val="24"/>
          <w:szCs w:val="24"/>
          <w:lang w:val="en-US"/>
        </w:rPr>
        <w:t>H</w:t>
      </w:r>
      <w:r w:rsidR="00634030" w:rsidRPr="00634030">
        <w:rPr>
          <w:rFonts w:ascii="Times New Roman" w:eastAsia="Calibri" w:hAnsi="Times New Roman" w:cs="Times New Roman"/>
          <w:sz w:val="24"/>
          <w:szCs w:val="24"/>
          <w:lang w:val="en-US"/>
        </w:rPr>
        <w:t>é</w:t>
      </w:r>
      <w:r w:rsidR="0063403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la </w:t>
      </w:r>
      <w:r w:rsidR="002F6CF7">
        <w:rPr>
          <w:rFonts w:ascii="Times New Roman" w:eastAsia="Calibri" w:hAnsi="Times New Roman" w:cs="Times New Roman"/>
          <w:sz w:val="24"/>
          <w:szCs w:val="24"/>
          <w:lang w:val="en-US"/>
        </w:rPr>
        <w:t>is an editorial board member in “</w:t>
      </w:r>
      <w:r w:rsidR="002F6CF7" w:rsidRPr="002F6CF7">
        <w:rPr>
          <w:rFonts w:ascii="Times New Roman" w:eastAsia="Calibri" w:hAnsi="Times New Roman" w:cs="Times New Roman"/>
          <w:sz w:val="24"/>
          <w:szCs w:val="24"/>
          <w:lang w:val="en-US"/>
        </w:rPr>
        <w:t>Understanding Contexts of Business in Western Asia</w:t>
      </w:r>
      <w:r w:rsidR="002F6CF7">
        <w:rPr>
          <w:rFonts w:ascii="Times New Roman" w:eastAsia="Calibri" w:hAnsi="Times New Roman" w:cs="Times New Roman"/>
          <w:sz w:val="24"/>
          <w:szCs w:val="24"/>
          <w:lang w:val="en-US"/>
        </w:rPr>
        <w:t>”, and member in AEEFI the Spanish Association of International Economics and Finance.</w:t>
      </w:r>
    </w:p>
    <w:p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6B3217" w:rsidRPr="00194BF9" w:rsidRDefault="006B3217" w:rsidP="002F6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194BF9">
        <w:rPr>
          <w:rFonts w:ascii="Times New Roman" w:eastAsia="Calibri" w:hAnsi="Times New Roman" w:cs="Times New Roman"/>
          <w:b/>
          <w:sz w:val="24"/>
          <w:szCs w:val="24"/>
          <w:lang w:val="en-US"/>
        </w:rPr>
        <w:t>Full Name: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2F6CF7">
        <w:rPr>
          <w:rFonts w:ascii="Times New Roman" w:eastAsia="Calibri" w:hAnsi="Times New Roman" w:cs="Times New Roman"/>
          <w:sz w:val="24"/>
          <w:szCs w:val="24"/>
          <w:lang w:val="en-US"/>
        </w:rPr>
        <w:t>H</w:t>
      </w:r>
      <w:r w:rsidR="002F6CF7" w:rsidRPr="007606D8">
        <w:rPr>
          <w:rFonts w:asciiTheme="majorBidi" w:hAnsiTheme="majorBidi" w:cstheme="majorBidi"/>
          <w:b/>
          <w:bCs/>
          <w:sz w:val="24"/>
          <w:szCs w:val="24"/>
          <w:lang w:val="en-US"/>
        </w:rPr>
        <w:t>é</w:t>
      </w:r>
      <w:r w:rsidR="002F6CF7">
        <w:rPr>
          <w:rFonts w:ascii="Times New Roman" w:eastAsia="Calibri" w:hAnsi="Times New Roman" w:cs="Times New Roman"/>
          <w:sz w:val="24"/>
          <w:szCs w:val="24"/>
          <w:lang w:val="en-US"/>
        </w:rPr>
        <w:t>la Ben Soltane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6B3217" w:rsidRPr="00194BF9" w:rsidRDefault="006B3217" w:rsidP="002F6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2F6CF7">
        <w:rPr>
          <w:rFonts w:ascii="Times New Roman" w:eastAsia="Calibri" w:hAnsi="Times New Roman" w:cs="Times New Roman"/>
          <w:b/>
          <w:sz w:val="24"/>
          <w:szCs w:val="24"/>
          <w:lang w:val="en-US"/>
        </w:rPr>
        <w:t>Professional</w:t>
      </w:r>
      <w:r w:rsidRPr="00194BF9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Email: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2F6CF7">
        <w:rPr>
          <w:rFonts w:ascii="Times New Roman" w:eastAsia="Calibri" w:hAnsi="Times New Roman" w:cs="Times New Roman"/>
          <w:sz w:val="24"/>
          <w:szCs w:val="24"/>
          <w:lang w:val="en-US"/>
        </w:rPr>
        <w:t>he.ghazali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>@</w:t>
      </w:r>
      <w:r w:rsidR="002F6CF7">
        <w:rPr>
          <w:rFonts w:ascii="Times New Roman" w:eastAsia="Calibri" w:hAnsi="Times New Roman" w:cs="Times New Roman"/>
          <w:sz w:val="24"/>
          <w:szCs w:val="24"/>
          <w:lang w:val="en-US"/>
        </w:rPr>
        <w:t>uoh.edu.sa</w:t>
      </w:r>
    </w:p>
    <w:p w:rsidR="006B3217" w:rsidRPr="00194BF9" w:rsidRDefault="006B3217" w:rsidP="002F6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194BF9">
        <w:rPr>
          <w:rFonts w:ascii="Times New Roman" w:eastAsia="Calibri" w:hAnsi="Times New Roman" w:cs="Times New Roman"/>
          <w:b/>
          <w:sz w:val="24"/>
          <w:szCs w:val="24"/>
          <w:lang w:val="en-US"/>
        </w:rPr>
        <w:t>Category: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(Oral presentation)</w:t>
      </w:r>
    </w:p>
    <w:p w:rsidR="006B3217" w:rsidRPr="00194BF9" w:rsidRDefault="006B3217" w:rsidP="002F6CF7">
      <w:pPr>
        <w:spacing w:after="0" w:line="240" w:lineRule="auto"/>
        <w:ind w:left="720" w:hanging="72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194BF9">
        <w:rPr>
          <w:rFonts w:ascii="Times New Roman" w:eastAsia="Calibri" w:hAnsi="Times New Roman" w:cs="Times New Roman"/>
          <w:b/>
          <w:sz w:val="24"/>
          <w:szCs w:val="24"/>
          <w:lang w:val="en-US"/>
        </w:rPr>
        <w:t>Postal Address: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2F6CF7">
        <w:rPr>
          <w:rFonts w:ascii="Times New Roman" w:eastAsia="Calibri" w:hAnsi="Times New Roman" w:cs="Times New Roman"/>
          <w:sz w:val="24"/>
          <w:szCs w:val="24"/>
          <w:lang w:val="en-US"/>
        </w:rPr>
        <w:t>College of Business Administration, University of Ha’il, Ha’il 55476, Kingdom of Saudi Arabia</w:t>
      </w:r>
    </w:p>
    <w:p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sectPr w:rsidR="006B3217" w:rsidRPr="00194BF9" w:rsidSect="006B3217">
      <w:type w:val="continuous"/>
      <w:pgSz w:w="11906" w:h="16838"/>
      <w:pgMar w:top="1440" w:right="991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4313AE"/>
    <w:multiLevelType w:val="hybridMultilevel"/>
    <w:tmpl w:val="C00E5FA0"/>
    <w:lvl w:ilvl="0" w:tplc="8AAEB718">
      <w:start w:val="1"/>
      <w:numFmt w:val="decimal"/>
      <w:lvlText w:val="%1)"/>
      <w:lvlJc w:val="left"/>
      <w:pPr>
        <w:ind w:left="400" w:hanging="360"/>
      </w:pPr>
      <w:rPr>
        <w:rFonts w:ascii="Calibri" w:eastAsia="Tw Cen MT" w:hAnsi="Calibri" w:cs="Tw Cen MT" w:hint="default"/>
      </w:rPr>
    </w:lvl>
    <w:lvl w:ilvl="1" w:tplc="04090019" w:tentative="1">
      <w:start w:val="1"/>
      <w:numFmt w:val="lowerLetter"/>
      <w:lvlText w:val="%2."/>
      <w:lvlJc w:val="left"/>
      <w:pPr>
        <w:ind w:left="1120" w:hanging="360"/>
      </w:pPr>
    </w:lvl>
    <w:lvl w:ilvl="2" w:tplc="0409001B" w:tentative="1">
      <w:start w:val="1"/>
      <w:numFmt w:val="lowerRoman"/>
      <w:lvlText w:val="%3."/>
      <w:lvlJc w:val="right"/>
      <w:pPr>
        <w:ind w:left="1840" w:hanging="180"/>
      </w:pPr>
    </w:lvl>
    <w:lvl w:ilvl="3" w:tplc="0409000F" w:tentative="1">
      <w:start w:val="1"/>
      <w:numFmt w:val="decimal"/>
      <w:lvlText w:val="%4."/>
      <w:lvlJc w:val="left"/>
      <w:pPr>
        <w:ind w:left="2560" w:hanging="360"/>
      </w:pPr>
    </w:lvl>
    <w:lvl w:ilvl="4" w:tplc="04090019" w:tentative="1">
      <w:start w:val="1"/>
      <w:numFmt w:val="lowerLetter"/>
      <w:lvlText w:val="%5."/>
      <w:lvlJc w:val="left"/>
      <w:pPr>
        <w:ind w:left="3280" w:hanging="360"/>
      </w:pPr>
    </w:lvl>
    <w:lvl w:ilvl="5" w:tplc="0409001B" w:tentative="1">
      <w:start w:val="1"/>
      <w:numFmt w:val="lowerRoman"/>
      <w:lvlText w:val="%6."/>
      <w:lvlJc w:val="right"/>
      <w:pPr>
        <w:ind w:left="4000" w:hanging="180"/>
      </w:pPr>
    </w:lvl>
    <w:lvl w:ilvl="6" w:tplc="0409000F" w:tentative="1">
      <w:start w:val="1"/>
      <w:numFmt w:val="decimal"/>
      <w:lvlText w:val="%7."/>
      <w:lvlJc w:val="left"/>
      <w:pPr>
        <w:ind w:left="4720" w:hanging="360"/>
      </w:pPr>
    </w:lvl>
    <w:lvl w:ilvl="7" w:tplc="04090019" w:tentative="1">
      <w:start w:val="1"/>
      <w:numFmt w:val="lowerLetter"/>
      <w:lvlText w:val="%8."/>
      <w:lvlJc w:val="left"/>
      <w:pPr>
        <w:ind w:left="5440" w:hanging="360"/>
      </w:pPr>
    </w:lvl>
    <w:lvl w:ilvl="8" w:tplc="0409001B" w:tentative="1">
      <w:start w:val="1"/>
      <w:numFmt w:val="lowerRoman"/>
      <w:lvlText w:val="%9."/>
      <w:lvlJc w:val="right"/>
      <w:pPr>
        <w:ind w:left="61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597"/>
    <w:rsid w:val="00155B14"/>
    <w:rsid w:val="001753E4"/>
    <w:rsid w:val="00194BF9"/>
    <w:rsid w:val="002F6CF7"/>
    <w:rsid w:val="00330062"/>
    <w:rsid w:val="00375B3D"/>
    <w:rsid w:val="0046369B"/>
    <w:rsid w:val="00562079"/>
    <w:rsid w:val="00607A26"/>
    <w:rsid w:val="0062343A"/>
    <w:rsid w:val="00634030"/>
    <w:rsid w:val="00643582"/>
    <w:rsid w:val="00676597"/>
    <w:rsid w:val="006B3217"/>
    <w:rsid w:val="008E2213"/>
    <w:rsid w:val="009248F6"/>
    <w:rsid w:val="009C72EB"/>
    <w:rsid w:val="00A2285E"/>
    <w:rsid w:val="00A5373E"/>
    <w:rsid w:val="00A54347"/>
    <w:rsid w:val="00A66F17"/>
    <w:rsid w:val="00A83C62"/>
    <w:rsid w:val="00A970ED"/>
    <w:rsid w:val="00AF2CF0"/>
    <w:rsid w:val="00B044F5"/>
    <w:rsid w:val="00DF560E"/>
    <w:rsid w:val="00F332A7"/>
    <w:rsid w:val="00FA08F0"/>
    <w:rsid w:val="00FF3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9B8C6"/>
  <w15:docId w15:val="{9484DA42-2F49-4EC0-B9FE-EE81A128F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6B3217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3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321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B3217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300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B044F5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science/article/abs/pii/S0304405X1100236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sciencedirect.com/science/article/abs/pii/S0304405X1100236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pers.ssrn.com/sol3/papers.cfm?abstract_id=2835992" TargetMode="External"/><Relationship Id="rId11" Type="http://schemas.openxmlformats.org/officeDocument/2006/relationships/hyperlink" Target="http://www.tadawul.com.sa" TargetMode="External"/><Relationship Id="rId5" Type="http://schemas.openxmlformats.org/officeDocument/2006/relationships/hyperlink" Target="https://ssrn.com/abstract=3139180" TargetMode="External"/><Relationship Id="rId10" Type="http://schemas.openxmlformats.org/officeDocument/2006/relationships/hyperlink" Target="http://www.tadawul.com.s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iencedirect.com/science/journal/0304405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3</Pages>
  <Words>1179</Words>
  <Characters>6724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Medical Nanotechnology 2016</dc:creator>
  <cp:lastModifiedBy>Hela Muhammad Al-Ghazali Sultan</cp:lastModifiedBy>
  <cp:revision>3</cp:revision>
  <dcterms:created xsi:type="dcterms:W3CDTF">2018-08-20T08:30:00Z</dcterms:created>
  <dcterms:modified xsi:type="dcterms:W3CDTF">2022-01-14T19:27:00Z</dcterms:modified>
</cp:coreProperties>
</file>