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AA746" w14:textId="7E8ACD8E" w:rsidR="00DF1E1C" w:rsidRPr="00D71A4D" w:rsidRDefault="00D71A4D" w:rsidP="00D71A4D">
      <w:pPr>
        <w:jc w:val="both"/>
        <w:rPr>
          <w:rFonts w:ascii="Segoe UI" w:hAnsi="Segoe UI" w:cs="Segoe UI"/>
          <w:b/>
          <w:sz w:val="21"/>
          <w:szCs w:val="21"/>
          <w:shd w:val="clear" w:color="auto" w:fill="FFFFFF"/>
        </w:rPr>
      </w:pPr>
      <w:r w:rsidRPr="00D71A4D">
        <w:rPr>
          <w:rFonts w:ascii="Segoe UI" w:hAnsi="Segoe UI" w:cs="Segoe UI"/>
          <w:b/>
          <w:sz w:val="21"/>
          <w:szCs w:val="21"/>
          <w:shd w:val="clear" w:color="auto" w:fill="FFFFFF"/>
        </w:rPr>
        <w:t xml:space="preserve">Topic: Corporate Ethics: the importance of ethical leadership and ethics programs </w:t>
      </w:r>
    </w:p>
    <w:p w14:paraId="5307678F" w14:textId="77777777" w:rsidR="00C440F7" w:rsidRDefault="00C440F7" w:rsidP="00C440F7">
      <w:pPr>
        <w:jc w:val="both"/>
        <w:rPr>
          <w:rFonts w:ascii="Segoe UI" w:hAnsi="Segoe UI" w:cs="Segoe UI"/>
          <w:sz w:val="21"/>
          <w:szCs w:val="21"/>
          <w:shd w:val="clear" w:color="auto" w:fill="FFFFFF"/>
        </w:rPr>
      </w:pPr>
      <w:r w:rsidRPr="000910B3">
        <w:rPr>
          <w:rFonts w:ascii="Segoe UI" w:hAnsi="Segoe UI" w:cs="Segoe UI"/>
          <w:sz w:val="21"/>
          <w:szCs w:val="21"/>
          <w:shd w:val="clear" w:color="auto" w:fill="FFFFFF"/>
        </w:rPr>
        <w:t xml:space="preserve">The term </w:t>
      </w:r>
      <w:r>
        <w:rPr>
          <w:rFonts w:ascii="Segoe UI" w:hAnsi="Segoe UI" w:cs="Segoe UI"/>
          <w:sz w:val="21"/>
          <w:szCs w:val="21"/>
          <w:shd w:val="clear" w:color="auto" w:fill="FFFFFF"/>
        </w:rPr>
        <w:t>“corporate ethics” or “</w:t>
      </w:r>
      <w:r w:rsidRPr="000910B3">
        <w:rPr>
          <w:rFonts w:ascii="Segoe UI" w:hAnsi="Segoe UI" w:cs="Segoe UI"/>
          <w:sz w:val="21"/>
          <w:szCs w:val="21"/>
          <w:shd w:val="clear" w:color="auto" w:fill="FFFFFF"/>
        </w:rPr>
        <w:t>business ethics</w:t>
      </w:r>
      <w:r>
        <w:rPr>
          <w:rFonts w:ascii="Segoe UI" w:hAnsi="Segoe UI" w:cs="Segoe UI"/>
          <w:sz w:val="21"/>
          <w:szCs w:val="21"/>
          <w:shd w:val="clear" w:color="auto" w:fill="FFFFFF"/>
        </w:rPr>
        <w:t>”</w:t>
      </w:r>
      <w:r w:rsidRPr="000910B3">
        <w:rPr>
          <w:rFonts w:ascii="Segoe UI" w:hAnsi="Segoe UI" w:cs="Segoe UI"/>
          <w:sz w:val="21"/>
          <w:szCs w:val="21"/>
          <w:shd w:val="clear" w:color="auto" w:fill="FFFFFF"/>
        </w:rPr>
        <w:t xml:space="preserve"> came into common use in the United States in the early 1970s. By the mid-1980s at least 500 courses in </w:t>
      </w:r>
      <w:r>
        <w:rPr>
          <w:rFonts w:ascii="Segoe UI" w:hAnsi="Segoe UI" w:cs="Segoe UI"/>
          <w:sz w:val="21"/>
          <w:szCs w:val="21"/>
          <w:shd w:val="clear" w:color="auto" w:fill="FFFFFF"/>
        </w:rPr>
        <w:t>corporate</w:t>
      </w:r>
      <w:r w:rsidRPr="000910B3">
        <w:rPr>
          <w:rFonts w:ascii="Segoe UI" w:hAnsi="Segoe UI" w:cs="Segoe UI"/>
          <w:sz w:val="21"/>
          <w:szCs w:val="21"/>
          <w:shd w:val="clear" w:color="auto" w:fill="FFFFFF"/>
        </w:rPr>
        <w:t xml:space="preserve"> ethics reached 40,000 students, using some twenty textbooks and at least ten casebooks supported by professional societies, centers and journals of business ethics. The Society for Business Ethics was founded in 1980. European business schools adopted business ethics after 1987 commencing with the European Business Ethics Network</w:t>
      </w:r>
      <w:r>
        <w:rPr>
          <w:rStyle w:val="FootnoteReference"/>
          <w:rFonts w:ascii="Segoe UI" w:hAnsi="Segoe UI" w:cs="Segoe UI"/>
          <w:sz w:val="21"/>
          <w:szCs w:val="21"/>
          <w:shd w:val="clear" w:color="auto" w:fill="FFFFFF"/>
        </w:rPr>
        <w:footnoteReference w:id="1"/>
      </w:r>
      <w:r w:rsidRPr="000910B3">
        <w:rPr>
          <w:rFonts w:ascii="Segoe UI" w:hAnsi="Segoe UI" w:cs="Segoe UI"/>
          <w:sz w:val="21"/>
          <w:szCs w:val="21"/>
          <w:shd w:val="clear" w:color="auto" w:fill="FFFFFF"/>
        </w:rPr>
        <w:t>.</w:t>
      </w:r>
    </w:p>
    <w:p w14:paraId="60291459" w14:textId="672113C4" w:rsidR="000910B3" w:rsidRDefault="000910B3" w:rsidP="000910B3">
      <w:pPr>
        <w:jc w:val="both"/>
        <w:rPr>
          <w:rFonts w:ascii="Segoe UI" w:hAnsi="Segoe UI" w:cs="Segoe UI"/>
          <w:sz w:val="21"/>
          <w:szCs w:val="21"/>
          <w:shd w:val="clear" w:color="auto" w:fill="FFFFFF"/>
        </w:rPr>
      </w:pPr>
      <w:r w:rsidRPr="000910B3">
        <w:rPr>
          <w:rFonts w:ascii="Segoe UI" w:hAnsi="Segoe UI" w:cs="Segoe UI"/>
          <w:sz w:val="21"/>
          <w:szCs w:val="21"/>
          <w:shd w:val="clear" w:color="auto" w:fill="FFFFFF"/>
        </w:rPr>
        <w:t xml:space="preserve">Many of </w:t>
      </w:r>
      <w:r>
        <w:rPr>
          <w:rFonts w:ascii="Segoe UI" w:hAnsi="Segoe UI" w:cs="Segoe UI"/>
          <w:sz w:val="21"/>
          <w:szCs w:val="21"/>
          <w:shd w:val="clear" w:color="auto" w:fill="FFFFFF"/>
        </w:rPr>
        <w:t>us</w:t>
      </w:r>
      <w:r w:rsidRPr="000910B3">
        <w:rPr>
          <w:rFonts w:ascii="Segoe UI" w:hAnsi="Segoe UI" w:cs="Segoe UI"/>
          <w:sz w:val="21"/>
          <w:szCs w:val="21"/>
          <w:shd w:val="clear" w:color="auto" w:fill="FFFFFF"/>
        </w:rPr>
        <w:t xml:space="preserve"> are familiar with Simon Sinek’s Golden Circle of WHAT, HOW and WHY</w:t>
      </w:r>
      <w:r>
        <w:rPr>
          <w:rStyle w:val="FootnoteReference"/>
          <w:rFonts w:ascii="Segoe UI" w:hAnsi="Segoe UI" w:cs="Segoe UI"/>
          <w:sz w:val="21"/>
          <w:szCs w:val="21"/>
          <w:shd w:val="clear" w:color="auto" w:fill="FFFFFF"/>
        </w:rPr>
        <w:footnoteReference w:id="2"/>
      </w:r>
      <w:r w:rsidRPr="000910B3">
        <w:rPr>
          <w:rFonts w:ascii="Segoe UI" w:hAnsi="Segoe UI" w:cs="Segoe UI"/>
          <w:sz w:val="21"/>
          <w:szCs w:val="21"/>
          <w:shd w:val="clear" w:color="auto" w:fill="FFFFFF"/>
        </w:rPr>
        <w:t xml:space="preserve">.  </w:t>
      </w:r>
      <w:r>
        <w:rPr>
          <w:rFonts w:ascii="Segoe UI" w:hAnsi="Segoe UI" w:cs="Segoe UI"/>
          <w:sz w:val="21"/>
          <w:szCs w:val="21"/>
          <w:shd w:val="clear" w:color="auto" w:fill="FFFFFF"/>
        </w:rPr>
        <w:t>This speech is</w:t>
      </w:r>
      <w:r w:rsidRPr="000910B3">
        <w:rPr>
          <w:rFonts w:ascii="Segoe UI" w:hAnsi="Segoe UI" w:cs="Segoe UI"/>
          <w:sz w:val="21"/>
          <w:szCs w:val="21"/>
          <w:shd w:val="clear" w:color="auto" w:fill="FFFFFF"/>
        </w:rPr>
        <w:t xml:space="preserve"> not about WHAT </w:t>
      </w:r>
      <w:r>
        <w:rPr>
          <w:rFonts w:ascii="Segoe UI" w:hAnsi="Segoe UI" w:cs="Segoe UI"/>
          <w:sz w:val="21"/>
          <w:szCs w:val="21"/>
          <w:shd w:val="clear" w:color="auto" w:fill="FFFFFF"/>
        </w:rPr>
        <w:t>Corporate Ethics is</w:t>
      </w:r>
      <w:r w:rsidRPr="000910B3">
        <w:rPr>
          <w:rFonts w:ascii="Segoe UI" w:hAnsi="Segoe UI" w:cs="Segoe UI"/>
          <w:sz w:val="21"/>
          <w:szCs w:val="21"/>
          <w:shd w:val="clear" w:color="auto" w:fill="FFFFFF"/>
        </w:rPr>
        <w:t xml:space="preserve">. </w:t>
      </w:r>
      <w:r>
        <w:rPr>
          <w:rFonts w:ascii="Segoe UI" w:hAnsi="Segoe UI" w:cs="Segoe UI"/>
          <w:sz w:val="21"/>
          <w:szCs w:val="21"/>
          <w:shd w:val="clear" w:color="auto" w:fill="FFFFFF"/>
        </w:rPr>
        <w:t>Every organization would have its own definition and can use different terms to define this concept</w:t>
      </w:r>
      <w:r w:rsidRPr="000910B3">
        <w:rPr>
          <w:rFonts w:ascii="Segoe UI" w:hAnsi="Segoe UI" w:cs="Segoe UI"/>
          <w:sz w:val="21"/>
          <w:szCs w:val="21"/>
          <w:shd w:val="clear" w:color="auto" w:fill="FFFFFF"/>
        </w:rPr>
        <w:t xml:space="preserve">. </w:t>
      </w:r>
      <w:r>
        <w:rPr>
          <w:rFonts w:ascii="Segoe UI" w:hAnsi="Segoe UI" w:cs="Segoe UI"/>
          <w:sz w:val="21"/>
          <w:szCs w:val="21"/>
          <w:shd w:val="clear" w:color="auto" w:fill="FFFFFF"/>
        </w:rPr>
        <w:t>This speech is</w:t>
      </w:r>
      <w:r w:rsidRPr="000910B3">
        <w:rPr>
          <w:rFonts w:ascii="Segoe UI" w:hAnsi="Segoe UI" w:cs="Segoe UI"/>
          <w:sz w:val="21"/>
          <w:szCs w:val="21"/>
          <w:shd w:val="clear" w:color="auto" w:fill="FFFFFF"/>
        </w:rPr>
        <w:t xml:space="preserve"> </w:t>
      </w:r>
      <w:r>
        <w:rPr>
          <w:rFonts w:ascii="Segoe UI" w:hAnsi="Segoe UI" w:cs="Segoe UI"/>
          <w:sz w:val="21"/>
          <w:szCs w:val="21"/>
          <w:shd w:val="clear" w:color="auto" w:fill="FFFFFF"/>
        </w:rPr>
        <w:t>a</w:t>
      </w:r>
      <w:r w:rsidRPr="000910B3">
        <w:rPr>
          <w:rFonts w:ascii="Segoe UI" w:hAnsi="Segoe UI" w:cs="Segoe UI"/>
          <w:sz w:val="21"/>
          <w:szCs w:val="21"/>
          <w:shd w:val="clear" w:color="auto" w:fill="FFFFFF"/>
        </w:rPr>
        <w:t xml:space="preserve">lso not about HOW </w:t>
      </w:r>
      <w:r>
        <w:rPr>
          <w:rFonts w:ascii="Segoe UI" w:hAnsi="Segoe UI" w:cs="Segoe UI"/>
          <w:sz w:val="21"/>
          <w:szCs w:val="21"/>
          <w:shd w:val="clear" w:color="auto" w:fill="FFFFFF"/>
        </w:rPr>
        <w:t xml:space="preserve">to comply with Corporate Ethics – each organization would have compliance professionals who can help you answer </w:t>
      </w:r>
      <w:r w:rsidRPr="000910B3">
        <w:rPr>
          <w:rFonts w:ascii="Segoe UI" w:hAnsi="Segoe UI" w:cs="Segoe UI"/>
          <w:sz w:val="21"/>
          <w:szCs w:val="21"/>
          <w:shd w:val="clear" w:color="auto" w:fill="FFFFFF"/>
        </w:rPr>
        <w:t>any practical questions about compliance</w:t>
      </w:r>
      <w:r>
        <w:rPr>
          <w:rFonts w:ascii="Segoe UI" w:hAnsi="Segoe UI" w:cs="Segoe UI"/>
          <w:sz w:val="21"/>
          <w:szCs w:val="21"/>
          <w:shd w:val="clear" w:color="auto" w:fill="FFFFFF"/>
        </w:rPr>
        <w:t xml:space="preserve"> with Corporate Ethics</w:t>
      </w:r>
      <w:r w:rsidRPr="000910B3">
        <w:rPr>
          <w:rFonts w:ascii="Segoe UI" w:hAnsi="Segoe UI" w:cs="Segoe UI"/>
          <w:sz w:val="21"/>
          <w:szCs w:val="21"/>
          <w:shd w:val="clear" w:color="auto" w:fill="FFFFFF"/>
        </w:rPr>
        <w:t>.</w:t>
      </w:r>
      <w:r>
        <w:rPr>
          <w:rFonts w:ascii="Segoe UI" w:hAnsi="Segoe UI" w:cs="Segoe UI"/>
          <w:sz w:val="21"/>
          <w:szCs w:val="21"/>
          <w:shd w:val="clear" w:color="auto" w:fill="FFFFFF"/>
        </w:rPr>
        <w:t xml:space="preserve"> My purpose is</w:t>
      </w:r>
      <w:r w:rsidRPr="000910B3">
        <w:rPr>
          <w:rFonts w:ascii="Segoe UI" w:hAnsi="Segoe UI" w:cs="Segoe UI"/>
          <w:sz w:val="21"/>
          <w:szCs w:val="21"/>
          <w:shd w:val="clear" w:color="auto" w:fill="FFFFFF"/>
        </w:rPr>
        <w:t xml:space="preserve"> </w:t>
      </w:r>
      <w:r>
        <w:rPr>
          <w:rFonts w:ascii="Segoe UI" w:hAnsi="Segoe UI" w:cs="Segoe UI"/>
          <w:sz w:val="21"/>
          <w:szCs w:val="21"/>
          <w:shd w:val="clear" w:color="auto" w:fill="FFFFFF"/>
        </w:rPr>
        <w:t>to help us</w:t>
      </w:r>
      <w:r w:rsidRPr="000910B3">
        <w:rPr>
          <w:rFonts w:ascii="Segoe UI" w:hAnsi="Segoe UI" w:cs="Segoe UI"/>
          <w:sz w:val="21"/>
          <w:szCs w:val="21"/>
          <w:shd w:val="clear" w:color="auto" w:fill="FFFFFF"/>
        </w:rPr>
        <w:t xml:space="preserve"> understand WHY </w:t>
      </w:r>
      <w:r>
        <w:rPr>
          <w:rFonts w:ascii="Segoe UI" w:hAnsi="Segoe UI" w:cs="Segoe UI"/>
          <w:sz w:val="21"/>
          <w:szCs w:val="21"/>
          <w:shd w:val="clear" w:color="auto" w:fill="FFFFFF"/>
        </w:rPr>
        <w:t>Corporate Ethics</w:t>
      </w:r>
      <w:r w:rsidRPr="000910B3">
        <w:rPr>
          <w:rFonts w:ascii="Segoe UI" w:hAnsi="Segoe UI" w:cs="Segoe UI"/>
          <w:sz w:val="21"/>
          <w:szCs w:val="21"/>
          <w:shd w:val="clear" w:color="auto" w:fill="FFFFFF"/>
        </w:rPr>
        <w:t xml:space="preserve"> are important and WHY it is important that we believe in </w:t>
      </w:r>
      <w:r>
        <w:rPr>
          <w:rFonts w:ascii="Segoe UI" w:hAnsi="Segoe UI" w:cs="Segoe UI"/>
          <w:sz w:val="21"/>
          <w:szCs w:val="21"/>
          <w:shd w:val="clear" w:color="auto" w:fill="FFFFFF"/>
        </w:rPr>
        <w:t xml:space="preserve">those principles </w:t>
      </w:r>
      <w:r w:rsidRPr="000910B3">
        <w:rPr>
          <w:rFonts w:ascii="Segoe UI" w:hAnsi="Segoe UI" w:cs="Segoe UI"/>
          <w:sz w:val="21"/>
          <w:szCs w:val="21"/>
          <w:shd w:val="clear" w:color="auto" w:fill="FFFFFF"/>
        </w:rPr>
        <w:t>and abide by them.</w:t>
      </w:r>
    </w:p>
    <w:p w14:paraId="5BF47805" w14:textId="3202F2C7" w:rsidR="000910B3" w:rsidRPr="000910B3" w:rsidRDefault="000910B3" w:rsidP="000910B3">
      <w:pPr>
        <w:jc w:val="both"/>
        <w:rPr>
          <w:rFonts w:ascii="Segoe UI" w:hAnsi="Segoe UI" w:cs="Segoe UI"/>
          <w:sz w:val="21"/>
          <w:szCs w:val="21"/>
          <w:shd w:val="clear" w:color="auto" w:fill="FFFFFF"/>
        </w:rPr>
      </w:pPr>
      <w:r>
        <w:rPr>
          <w:rFonts w:ascii="Segoe UI" w:hAnsi="Segoe UI" w:cs="Segoe UI"/>
          <w:noProof/>
          <w:sz w:val="21"/>
          <w:szCs w:val="21"/>
          <w:shd w:val="clear" w:color="auto" w:fill="FFFFFF"/>
        </w:rPr>
        <w:drawing>
          <wp:inline distT="0" distB="0" distL="0" distR="0" wp14:anchorId="544864CD" wp14:editId="554B7E60">
            <wp:extent cx="2887534" cy="2165697"/>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1741" cy="2191353"/>
                    </a:xfrm>
                    <a:prstGeom prst="rect">
                      <a:avLst/>
                    </a:prstGeom>
                    <a:noFill/>
                  </pic:spPr>
                </pic:pic>
              </a:graphicData>
            </a:graphic>
          </wp:inline>
        </w:drawing>
      </w:r>
    </w:p>
    <w:p w14:paraId="61AC14FB" w14:textId="295203AE" w:rsidR="00C440F7" w:rsidRDefault="00C440F7" w:rsidP="000910B3">
      <w:pPr>
        <w:jc w:val="both"/>
        <w:rPr>
          <w:rFonts w:ascii="Segoe UI" w:hAnsi="Segoe UI" w:cs="Segoe UI"/>
          <w:sz w:val="21"/>
          <w:szCs w:val="21"/>
          <w:shd w:val="clear" w:color="auto" w:fill="FFFFFF"/>
        </w:rPr>
      </w:pPr>
      <w:r>
        <w:rPr>
          <w:rFonts w:ascii="Segoe UI" w:hAnsi="Segoe UI" w:cs="Segoe UI"/>
          <w:sz w:val="21"/>
          <w:szCs w:val="21"/>
          <w:shd w:val="clear" w:color="auto" w:fill="FFFFFF"/>
        </w:rPr>
        <w:t xml:space="preserve">In modern world Corporate Ethics can be described as the principles and values that define how organizations and individuals within organizations should act in a moral and fair manner. Corporate Ethics can be codified and well written but it is of utmost importance that an organizations system of Corporate Ethics meets the following criteria: </w:t>
      </w:r>
    </w:p>
    <w:p w14:paraId="61F7D9DF" w14:textId="77777777" w:rsidR="003A28BD" w:rsidRDefault="00C440F7" w:rsidP="00C440F7">
      <w:pPr>
        <w:pStyle w:val="ListParagraph"/>
        <w:numPr>
          <w:ilvl w:val="0"/>
          <w:numId w:val="1"/>
        </w:numPr>
        <w:jc w:val="both"/>
        <w:rPr>
          <w:rFonts w:ascii="Segoe UI" w:hAnsi="Segoe UI" w:cs="Segoe UI"/>
          <w:sz w:val="21"/>
          <w:szCs w:val="21"/>
          <w:shd w:val="clear" w:color="auto" w:fill="FFFFFF"/>
        </w:rPr>
      </w:pPr>
      <w:r>
        <w:rPr>
          <w:rFonts w:ascii="Segoe UI" w:hAnsi="Segoe UI" w:cs="Segoe UI"/>
          <w:sz w:val="21"/>
          <w:szCs w:val="21"/>
          <w:shd w:val="clear" w:color="auto" w:fill="FFFFFF"/>
        </w:rPr>
        <w:t>Focus on people and their physical and moral well-being</w:t>
      </w:r>
    </w:p>
    <w:p w14:paraId="45C876CE" w14:textId="31DD3C92" w:rsidR="00C440F7" w:rsidRDefault="003A28BD" w:rsidP="00C440F7">
      <w:pPr>
        <w:pStyle w:val="ListParagraph"/>
        <w:numPr>
          <w:ilvl w:val="0"/>
          <w:numId w:val="1"/>
        </w:numPr>
        <w:jc w:val="both"/>
        <w:rPr>
          <w:rFonts w:ascii="Segoe UI" w:hAnsi="Segoe UI" w:cs="Segoe UI"/>
          <w:sz w:val="21"/>
          <w:szCs w:val="21"/>
          <w:shd w:val="clear" w:color="auto" w:fill="FFFFFF"/>
        </w:rPr>
      </w:pPr>
      <w:r>
        <w:rPr>
          <w:rFonts w:ascii="Segoe UI" w:hAnsi="Segoe UI" w:cs="Segoe UI"/>
          <w:sz w:val="21"/>
          <w:szCs w:val="21"/>
          <w:shd w:val="clear" w:color="auto" w:fill="FFFFFF"/>
        </w:rPr>
        <w:t>Promote respect and inclusion</w:t>
      </w:r>
      <w:r w:rsidR="00C440F7">
        <w:rPr>
          <w:rFonts w:ascii="Segoe UI" w:hAnsi="Segoe UI" w:cs="Segoe UI"/>
          <w:sz w:val="21"/>
          <w:szCs w:val="21"/>
          <w:shd w:val="clear" w:color="auto" w:fill="FFFFFF"/>
        </w:rPr>
        <w:t xml:space="preserve"> </w:t>
      </w:r>
    </w:p>
    <w:p w14:paraId="135FB9BC" w14:textId="36275216" w:rsidR="00C440F7" w:rsidRDefault="00C440F7" w:rsidP="00C440F7">
      <w:pPr>
        <w:pStyle w:val="ListParagraph"/>
        <w:numPr>
          <w:ilvl w:val="0"/>
          <w:numId w:val="1"/>
        </w:numPr>
        <w:jc w:val="both"/>
        <w:rPr>
          <w:rFonts w:ascii="Segoe UI" w:hAnsi="Segoe UI" w:cs="Segoe UI"/>
          <w:sz w:val="21"/>
          <w:szCs w:val="21"/>
          <w:shd w:val="clear" w:color="auto" w:fill="FFFFFF"/>
        </w:rPr>
      </w:pPr>
      <w:r>
        <w:rPr>
          <w:rFonts w:ascii="Segoe UI" w:hAnsi="Segoe UI" w:cs="Segoe UI"/>
          <w:sz w:val="21"/>
          <w:szCs w:val="21"/>
          <w:shd w:val="clear" w:color="auto" w:fill="FFFFFF"/>
        </w:rPr>
        <w:t>Allow for harassment-free workspace where everyone can enjoy bringing the whole him/herself to work</w:t>
      </w:r>
    </w:p>
    <w:p w14:paraId="6A89E863" w14:textId="77777777" w:rsidR="003A28BD" w:rsidRDefault="003A28BD" w:rsidP="003A28BD">
      <w:pPr>
        <w:pStyle w:val="ListParagraph"/>
        <w:numPr>
          <w:ilvl w:val="0"/>
          <w:numId w:val="1"/>
        </w:numPr>
        <w:jc w:val="both"/>
        <w:rPr>
          <w:rFonts w:ascii="Segoe UI" w:hAnsi="Segoe UI" w:cs="Segoe UI"/>
          <w:sz w:val="21"/>
          <w:szCs w:val="21"/>
          <w:shd w:val="clear" w:color="auto" w:fill="FFFFFF"/>
        </w:rPr>
      </w:pPr>
      <w:r>
        <w:rPr>
          <w:rFonts w:ascii="Segoe UI" w:hAnsi="Segoe UI" w:cs="Segoe UI"/>
          <w:sz w:val="21"/>
          <w:szCs w:val="21"/>
          <w:shd w:val="clear" w:color="auto" w:fill="FFFFFF"/>
        </w:rPr>
        <w:t xml:space="preserve">Be business oriented and “fit for purpose” </w:t>
      </w:r>
    </w:p>
    <w:p w14:paraId="1D84D635" w14:textId="5CC48A4A" w:rsidR="00C440F7" w:rsidRDefault="00C440F7" w:rsidP="00C440F7">
      <w:pPr>
        <w:pStyle w:val="ListParagraph"/>
        <w:numPr>
          <w:ilvl w:val="0"/>
          <w:numId w:val="1"/>
        </w:numPr>
        <w:jc w:val="both"/>
        <w:rPr>
          <w:rFonts w:ascii="Segoe UI" w:hAnsi="Segoe UI" w:cs="Segoe UI"/>
          <w:sz w:val="21"/>
          <w:szCs w:val="21"/>
          <w:shd w:val="clear" w:color="auto" w:fill="FFFFFF"/>
        </w:rPr>
      </w:pPr>
      <w:r>
        <w:rPr>
          <w:rFonts w:ascii="Segoe UI" w:hAnsi="Segoe UI" w:cs="Segoe UI"/>
          <w:sz w:val="21"/>
          <w:szCs w:val="21"/>
          <w:shd w:val="clear" w:color="auto" w:fill="FFFFFF"/>
        </w:rPr>
        <w:t>Require compliance with applicable laws and regulations, including internal regulations of the organization</w:t>
      </w:r>
    </w:p>
    <w:p w14:paraId="6BB4148E" w14:textId="151CFEE3" w:rsidR="00C440F7" w:rsidRDefault="003A28BD" w:rsidP="00C440F7">
      <w:pPr>
        <w:pStyle w:val="ListParagraph"/>
        <w:numPr>
          <w:ilvl w:val="0"/>
          <w:numId w:val="1"/>
        </w:numPr>
        <w:jc w:val="both"/>
        <w:rPr>
          <w:rFonts w:ascii="Segoe UI" w:hAnsi="Segoe UI" w:cs="Segoe UI"/>
          <w:sz w:val="21"/>
          <w:szCs w:val="21"/>
          <w:shd w:val="clear" w:color="auto" w:fill="FFFFFF"/>
        </w:rPr>
      </w:pPr>
      <w:r>
        <w:rPr>
          <w:rFonts w:ascii="Segoe UI" w:hAnsi="Segoe UI" w:cs="Segoe UI"/>
          <w:sz w:val="21"/>
          <w:szCs w:val="21"/>
          <w:shd w:val="clear" w:color="auto" w:fill="FFFFFF"/>
        </w:rPr>
        <w:t xml:space="preserve">Extend to dealings with external stakeholders, including governments </w:t>
      </w:r>
    </w:p>
    <w:p w14:paraId="146B1672" w14:textId="5D9CD630" w:rsidR="003A28BD" w:rsidRPr="00C440F7" w:rsidRDefault="003A28BD" w:rsidP="00C440F7">
      <w:pPr>
        <w:pStyle w:val="ListParagraph"/>
        <w:numPr>
          <w:ilvl w:val="0"/>
          <w:numId w:val="1"/>
        </w:numPr>
        <w:jc w:val="both"/>
        <w:rPr>
          <w:rFonts w:ascii="Segoe UI" w:hAnsi="Segoe UI" w:cs="Segoe UI"/>
          <w:sz w:val="21"/>
          <w:szCs w:val="21"/>
          <w:shd w:val="clear" w:color="auto" w:fill="FFFFFF"/>
        </w:rPr>
      </w:pPr>
      <w:r>
        <w:rPr>
          <w:rFonts w:ascii="Segoe UI" w:hAnsi="Segoe UI" w:cs="Segoe UI"/>
          <w:sz w:val="21"/>
          <w:szCs w:val="21"/>
          <w:shd w:val="clear" w:color="auto" w:fill="FFFFFF"/>
        </w:rPr>
        <w:lastRenderedPageBreak/>
        <w:t xml:space="preserve">Provide for a “speak-up” culture and set zero tolerance against retaliation  </w:t>
      </w:r>
    </w:p>
    <w:p w14:paraId="4C937889" w14:textId="7358CBBC" w:rsidR="000910B3" w:rsidRPr="00D71A4D" w:rsidRDefault="003A28BD" w:rsidP="000910B3">
      <w:pPr>
        <w:jc w:val="both"/>
        <w:rPr>
          <w:rFonts w:ascii="Segoe UI" w:hAnsi="Segoe UI" w:cs="Segoe UI"/>
          <w:sz w:val="21"/>
          <w:szCs w:val="21"/>
          <w:shd w:val="clear" w:color="auto" w:fill="FFFFFF"/>
        </w:rPr>
      </w:pPr>
      <w:r>
        <w:rPr>
          <w:rFonts w:ascii="Segoe UI" w:hAnsi="Segoe UI" w:cs="Segoe UI"/>
          <w:sz w:val="21"/>
          <w:szCs w:val="21"/>
          <w:shd w:val="clear" w:color="auto" w:fill="FFFFFF"/>
        </w:rPr>
        <w:t xml:space="preserve">An essential element of an organizations Corporate Ethics program is Ethical Leadership. It is important that leaders believe in the values that the organization is promoting and “walk the talk” by their own examples. There are different ways of ensuring efficient employee engagement but the most successful one is when the leader is a truly Ethical Leader. </w:t>
      </w:r>
      <w:bookmarkStart w:id="0" w:name="_GoBack"/>
      <w:bookmarkEnd w:id="0"/>
    </w:p>
    <w:p w14:paraId="4F06967F" w14:textId="4AC853D6" w:rsidR="00D71A4D" w:rsidRDefault="00D71A4D" w:rsidP="00D71A4D">
      <w:pPr>
        <w:jc w:val="both"/>
      </w:pPr>
    </w:p>
    <w:p w14:paraId="14BB1615" w14:textId="36829301" w:rsidR="00D71A4D" w:rsidRDefault="00D71A4D" w:rsidP="00D71A4D">
      <w:pPr>
        <w:jc w:val="both"/>
        <w:rPr>
          <w:rFonts w:ascii="Segoe UI" w:hAnsi="Segoe UI" w:cs="Segoe UI"/>
          <w:b/>
          <w:sz w:val="21"/>
          <w:szCs w:val="21"/>
          <w:shd w:val="clear" w:color="auto" w:fill="FFFFFF"/>
        </w:rPr>
      </w:pPr>
      <w:r w:rsidRPr="00D71A4D">
        <w:rPr>
          <w:rFonts w:ascii="Segoe UI" w:hAnsi="Segoe UI" w:cs="Segoe UI"/>
          <w:b/>
          <w:sz w:val="21"/>
          <w:szCs w:val="21"/>
          <w:shd w:val="clear" w:color="auto" w:fill="FFFFFF"/>
        </w:rPr>
        <w:t xml:space="preserve">Biography: </w:t>
      </w:r>
    </w:p>
    <w:p w14:paraId="4A4E62DB" w14:textId="176CFB0C" w:rsidR="00C440F7" w:rsidRPr="00D71A4D" w:rsidRDefault="00C440F7" w:rsidP="00D71A4D">
      <w:pPr>
        <w:jc w:val="both"/>
        <w:rPr>
          <w:rFonts w:ascii="Segoe UI" w:hAnsi="Segoe UI" w:cs="Segoe UI"/>
          <w:b/>
          <w:sz w:val="21"/>
          <w:szCs w:val="21"/>
          <w:shd w:val="clear" w:color="auto" w:fill="FFFFFF"/>
        </w:rPr>
      </w:pPr>
      <w:r>
        <w:rPr>
          <w:rFonts w:ascii="Segoe UI" w:hAnsi="Segoe UI" w:cs="Segoe UI"/>
          <w:b/>
          <w:noProof/>
          <w:sz w:val="21"/>
          <w:szCs w:val="21"/>
          <w:shd w:val="clear" w:color="auto" w:fill="FFFFFF"/>
        </w:rPr>
        <w:drawing>
          <wp:inline distT="0" distB="0" distL="0" distR="0" wp14:anchorId="4AE7B3DB" wp14:editId="09C25B6F">
            <wp:extent cx="2260121" cy="1506747"/>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ghrul Ahmadov.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0629" cy="1513752"/>
                    </a:xfrm>
                    <a:prstGeom prst="rect">
                      <a:avLst/>
                    </a:prstGeom>
                  </pic:spPr>
                </pic:pic>
              </a:graphicData>
            </a:graphic>
          </wp:inline>
        </w:drawing>
      </w:r>
    </w:p>
    <w:p w14:paraId="3EFB0A7B" w14:textId="4B9B027B" w:rsidR="00D71A4D" w:rsidRDefault="00D71A4D" w:rsidP="00D71A4D">
      <w:pPr>
        <w:jc w:val="both"/>
        <w:rPr>
          <w:rFonts w:ascii="Segoe UI" w:hAnsi="Segoe UI" w:cs="Segoe UI"/>
          <w:sz w:val="21"/>
          <w:szCs w:val="21"/>
          <w:shd w:val="clear" w:color="auto" w:fill="FFFFFF"/>
        </w:rPr>
      </w:pPr>
      <w:r>
        <w:rPr>
          <w:rFonts w:ascii="Segoe UI" w:hAnsi="Segoe UI" w:cs="Segoe UI"/>
          <w:sz w:val="21"/>
          <w:szCs w:val="21"/>
          <w:shd w:val="clear" w:color="auto" w:fill="FFFFFF"/>
        </w:rPr>
        <w:t xml:space="preserve">Toghrul Ahmadov is the Chief Legal, Compliance and Corporate Governance Officer of NEQSOL Holding and is based in Amsterdam, Netherlands. NEQSOL Holding is an international group of companies operating in 9 countries and engaged in Energy, Telecoms, Construction Materials and High-Tech industries. </w:t>
      </w:r>
    </w:p>
    <w:p w14:paraId="11BA7903" w14:textId="63E4751B" w:rsidR="00D71A4D" w:rsidRDefault="00D71A4D" w:rsidP="00D71A4D">
      <w:pPr>
        <w:jc w:val="both"/>
        <w:rPr>
          <w:rFonts w:ascii="Segoe UI" w:hAnsi="Segoe UI" w:cs="Segoe UI"/>
          <w:sz w:val="21"/>
          <w:szCs w:val="21"/>
          <w:shd w:val="clear" w:color="auto" w:fill="FFFFFF"/>
        </w:rPr>
      </w:pPr>
      <w:r>
        <w:rPr>
          <w:rFonts w:ascii="Segoe UI" w:hAnsi="Segoe UI" w:cs="Segoe UI"/>
          <w:sz w:val="21"/>
          <w:szCs w:val="21"/>
          <w:shd w:val="clear" w:color="auto" w:fill="FFFFFF"/>
        </w:rPr>
        <w:t>Toghrul is an e</w:t>
      </w:r>
      <w:r>
        <w:rPr>
          <w:rFonts w:ascii="Segoe UI" w:hAnsi="Segoe UI" w:cs="Segoe UI"/>
          <w:sz w:val="21"/>
          <w:szCs w:val="21"/>
          <w:shd w:val="clear" w:color="auto" w:fill="FFFFFF"/>
        </w:rPr>
        <w:t xml:space="preserve">xperienced legal and compliance professional with proven delivery of high-profile work with international impact in diverse environments. </w:t>
      </w:r>
      <w:r>
        <w:rPr>
          <w:rFonts w:ascii="Segoe UI" w:hAnsi="Segoe UI" w:cs="Segoe UI"/>
          <w:sz w:val="21"/>
          <w:szCs w:val="21"/>
          <w:shd w:val="clear" w:color="auto" w:fill="FFFFFF"/>
        </w:rPr>
        <w:t>He has m</w:t>
      </w:r>
      <w:r>
        <w:rPr>
          <w:rFonts w:ascii="Segoe UI" w:hAnsi="Segoe UI" w:cs="Segoe UI"/>
          <w:sz w:val="21"/>
          <w:szCs w:val="21"/>
          <w:shd w:val="clear" w:color="auto" w:fill="FFFFFF"/>
        </w:rPr>
        <w:t>ore than twenty years of experience in legal counseling, external affairs and stakeholder management, regulatory compliance and risk management and leading commercial negotiations.</w:t>
      </w:r>
    </w:p>
    <w:p w14:paraId="1B4A6B8D" w14:textId="77777777" w:rsidR="00D71A4D" w:rsidRDefault="00D71A4D" w:rsidP="00D71A4D">
      <w:pPr>
        <w:rPr>
          <w:rFonts w:ascii="Segoe UI" w:hAnsi="Segoe UI" w:cs="Segoe UI"/>
          <w:sz w:val="21"/>
          <w:szCs w:val="21"/>
        </w:rPr>
      </w:pPr>
      <w:r>
        <w:rPr>
          <w:rStyle w:val="white-space-pre"/>
          <w:rFonts w:ascii="Segoe UI" w:hAnsi="Segoe UI" w:cs="Segoe UI"/>
          <w:sz w:val="21"/>
          <w:szCs w:val="21"/>
          <w:shd w:val="clear" w:color="auto" w:fill="FFFFFF"/>
        </w:rPr>
        <w:t>Toghrul is an i</w:t>
      </w:r>
      <w:r>
        <w:rPr>
          <w:rFonts w:ascii="Segoe UI" w:hAnsi="Segoe UI" w:cs="Segoe UI"/>
          <w:sz w:val="21"/>
          <w:szCs w:val="21"/>
          <w:shd w:val="clear" w:color="auto" w:fill="FFFFFF"/>
        </w:rPr>
        <w:t xml:space="preserve">nspirational leader </w:t>
      </w:r>
      <w:r>
        <w:rPr>
          <w:rFonts w:ascii="Segoe UI" w:hAnsi="Segoe UI" w:cs="Segoe UI"/>
          <w:sz w:val="21"/>
          <w:szCs w:val="21"/>
          <w:shd w:val="clear" w:color="auto" w:fill="FFFFFF"/>
        </w:rPr>
        <w:t>and</w:t>
      </w:r>
      <w:r>
        <w:rPr>
          <w:rFonts w:ascii="Segoe UI" w:hAnsi="Segoe UI" w:cs="Segoe UI"/>
          <w:sz w:val="21"/>
          <w:szCs w:val="21"/>
          <w:shd w:val="clear" w:color="auto" w:fill="FFFFFF"/>
        </w:rPr>
        <w:t xml:space="preserve"> enjoys engaging and communicating with big audiences.</w:t>
      </w:r>
      <w:r>
        <w:rPr>
          <w:rFonts w:ascii="Segoe UI" w:hAnsi="Segoe UI" w:cs="Segoe UI"/>
          <w:sz w:val="21"/>
          <w:szCs w:val="21"/>
          <w:shd w:val="clear" w:color="auto" w:fill="FFFFFF"/>
        </w:rPr>
        <w:t xml:space="preserve"> He is f</w:t>
      </w:r>
      <w:r>
        <w:rPr>
          <w:rFonts w:ascii="Segoe UI" w:hAnsi="Segoe UI" w:cs="Segoe UI"/>
          <w:sz w:val="21"/>
          <w:szCs w:val="21"/>
          <w:shd w:val="clear" w:color="auto" w:fill="FFFFFF"/>
        </w:rPr>
        <w:t>luent in Azerbaijani, English, Russian and Turkish languages.</w:t>
      </w:r>
      <w:r>
        <w:rPr>
          <w:rStyle w:val="white-space-pre"/>
          <w:rFonts w:ascii="Segoe UI" w:hAnsi="Segoe UI" w:cs="Segoe UI"/>
          <w:sz w:val="21"/>
          <w:szCs w:val="21"/>
          <w:shd w:val="clear" w:color="auto" w:fill="FFFFFF"/>
        </w:rPr>
        <w:t xml:space="preserve"> </w:t>
      </w:r>
      <w:r>
        <w:rPr>
          <w:rFonts w:ascii="Segoe UI" w:hAnsi="Segoe UI" w:cs="Segoe UI"/>
          <w:sz w:val="21"/>
          <w:szCs w:val="21"/>
        </w:rPr>
        <w:br/>
      </w:r>
    </w:p>
    <w:p w14:paraId="40D356A2" w14:textId="77777777" w:rsidR="00D71A4D" w:rsidRDefault="00D71A4D" w:rsidP="00D71A4D">
      <w:pPr>
        <w:rPr>
          <w:rFonts w:ascii="Segoe UI" w:hAnsi="Segoe UI" w:cs="Segoe UI"/>
          <w:sz w:val="21"/>
          <w:szCs w:val="21"/>
        </w:rPr>
      </w:pPr>
      <w:r>
        <w:rPr>
          <w:rFonts w:ascii="Segoe UI" w:hAnsi="Segoe UI" w:cs="Segoe UI"/>
          <w:sz w:val="21"/>
          <w:szCs w:val="21"/>
        </w:rPr>
        <w:t xml:space="preserve">More information: </w:t>
      </w:r>
    </w:p>
    <w:p w14:paraId="5BC92A94" w14:textId="77777777" w:rsidR="00D71A4D" w:rsidRDefault="00D71A4D" w:rsidP="00D71A4D">
      <w:pPr>
        <w:rPr>
          <w:rFonts w:ascii="Segoe UI" w:hAnsi="Segoe UI" w:cs="Segoe UI"/>
          <w:sz w:val="21"/>
          <w:szCs w:val="21"/>
        </w:rPr>
      </w:pPr>
      <w:hyperlink r:id="rId10" w:history="1">
        <w:r w:rsidRPr="00D81070">
          <w:rPr>
            <w:rStyle w:val="Hyperlink"/>
            <w:rFonts w:ascii="Segoe UI" w:hAnsi="Segoe UI" w:cs="Segoe UI"/>
            <w:sz w:val="21"/>
            <w:szCs w:val="21"/>
          </w:rPr>
          <w:t>www.neqsolholding.com</w:t>
        </w:r>
      </w:hyperlink>
      <w:r>
        <w:rPr>
          <w:rFonts w:ascii="Segoe UI" w:hAnsi="Segoe UI" w:cs="Segoe UI"/>
          <w:sz w:val="21"/>
          <w:szCs w:val="21"/>
        </w:rPr>
        <w:t xml:space="preserve"> </w:t>
      </w:r>
    </w:p>
    <w:p w14:paraId="02452072" w14:textId="3B69F38C" w:rsidR="00D71A4D" w:rsidRDefault="00D71A4D" w:rsidP="00D71A4D">
      <w:hyperlink r:id="rId11" w:history="1">
        <w:r>
          <w:rPr>
            <w:rStyle w:val="Hyperlink"/>
          </w:rPr>
          <w:t>(4) Toghrul Ahmadov | LinkedIn</w:t>
        </w:r>
      </w:hyperlink>
      <w:r>
        <w:t xml:space="preserve"> </w:t>
      </w:r>
      <w:r>
        <w:rPr>
          <w:rFonts w:ascii="Segoe UI" w:hAnsi="Segoe UI" w:cs="Segoe UI"/>
          <w:sz w:val="21"/>
          <w:szCs w:val="21"/>
        </w:rPr>
        <w:br/>
      </w:r>
    </w:p>
    <w:sectPr w:rsidR="00D71A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5ACAEB" w14:textId="77777777" w:rsidR="006F0C2A" w:rsidRDefault="006F0C2A" w:rsidP="000910B3">
      <w:pPr>
        <w:spacing w:after="0" w:line="240" w:lineRule="auto"/>
      </w:pPr>
      <w:r>
        <w:separator/>
      </w:r>
    </w:p>
  </w:endnote>
  <w:endnote w:type="continuationSeparator" w:id="0">
    <w:p w14:paraId="28670EBE" w14:textId="77777777" w:rsidR="006F0C2A" w:rsidRDefault="006F0C2A" w:rsidP="00091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3DD77" w14:textId="77777777" w:rsidR="006F0C2A" w:rsidRDefault="006F0C2A" w:rsidP="000910B3">
      <w:pPr>
        <w:spacing w:after="0" w:line="240" w:lineRule="auto"/>
      </w:pPr>
      <w:r>
        <w:separator/>
      </w:r>
    </w:p>
  </w:footnote>
  <w:footnote w:type="continuationSeparator" w:id="0">
    <w:p w14:paraId="205EAEF3" w14:textId="77777777" w:rsidR="006F0C2A" w:rsidRDefault="006F0C2A" w:rsidP="000910B3">
      <w:pPr>
        <w:spacing w:after="0" w:line="240" w:lineRule="auto"/>
      </w:pPr>
      <w:r>
        <w:continuationSeparator/>
      </w:r>
    </w:p>
  </w:footnote>
  <w:footnote w:id="1">
    <w:p w14:paraId="5E1CB3FC" w14:textId="77777777" w:rsidR="00C440F7" w:rsidRDefault="00C440F7" w:rsidP="00C440F7">
      <w:pPr>
        <w:pStyle w:val="FootnoteText"/>
      </w:pPr>
      <w:r>
        <w:rPr>
          <w:rStyle w:val="FootnoteReference"/>
        </w:rPr>
        <w:footnoteRef/>
      </w:r>
      <w:r>
        <w:t xml:space="preserve"> </w:t>
      </w:r>
      <w:r w:rsidRPr="00C440F7">
        <w:t xml:space="preserve">History of Business Ethics Archived 2011-06-29 at the </w:t>
      </w:r>
      <w:proofErr w:type="spellStart"/>
      <w:r w:rsidRPr="00C440F7">
        <w:t>Wayback</w:t>
      </w:r>
      <w:proofErr w:type="spellEnd"/>
      <w:r w:rsidRPr="00C440F7">
        <w:t xml:space="preserve"> Machine. Scu.edu (2005-02-19). Retrieved on 2010-09-02.</w:t>
      </w:r>
    </w:p>
  </w:footnote>
  <w:footnote w:id="2">
    <w:p w14:paraId="4D68F0D4" w14:textId="656E377F" w:rsidR="000910B3" w:rsidRDefault="000910B3">
      <w:pPr>
        <w:pStyle w:val="FootnoteText"/>
      </w:pPr>
      <w:r>
        <w:rPr>
          <w:rStyle w:val="FootnoteReference"/>
        </w:rPr>
        <w:footnoteRef/>
      </w:r>
      <w:r>
        <w:t xml:space="preserve"> </w:t>
      </w:r>
      <w:hyperlink r:id="rId1" w:history="1">
        <w:r w:rsidRPr="00D81070">
          <w:rPr>
            <w:rStyle w:val="Hyperlink"/>
          </w:rPr>
          <w:t>https://www.youtube.com/watch?v=fMOlfsR7SMQ</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637A29"/>
    <w:multiLevelType w:val="hybridMultilevel"/>
    <w:tmpl w:val="80E4298E"/>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E1C"/>
    <w:rsid w:val="000910B3"/>
    <w:rsid w:val="003A28BD"/>
    <w:rsid w:val="006F0C2A"/>
    <w:rsid w:val="00C440F7"/>
    <w:rsid w:val="00D71A4D"/>
    <w:rsid w:val="00DF1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6F032"/>
  <w15:chartTrackingRefBased/>
  <w15:docId w15:val="{A5CF628E-7866-4B22-BAE4-5B1196A97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hite-space-pre">
    <w:name w:val="white-space-pre"/>
    <w:basedOn w:val="DefaultParagraphFont"/>
    <w:rsid w:val="00D71A4D"/>
  </w:style>
  <w:style w:type="character" w:styleId="Hyperlink">
    <w:name w:val="Hyperlink"/>
    <w:basedOn w:val="DefaultParagraphFont"/>
    <w:uiPriority w:val="99"/>
    <w:unhideWhenUsed/>
    <w:rsid w:val="00D71A4D"/>
    <w:rPr>
      <w:color w:val="0563C1" w:themeColor="hyperlink"/>
      <w:u w:val="single"/>
    </w:rPr>
  </w:style>
  <w:style w:type="character" w:styleId="UnresolvedMention">
    <w:name w:val="Unresolved Mention"/>
    <w:basedOn w:val="DefaultParagraphFont"/>
    <w:uiPriority w:val="99"/>
    <w:semiHidden/>
    <w:unhideWhenUsed/>
    <w:rsid w:val="00D71A4D"/>
    <w:rPr>
      <w:color w:val="605E5C"/>
      <w:shd w:val="clear" w:color="auto" w:fill="E1DFDD"/>
    </w:rPr>
  </w:style>
  <w:style w:type="paragraph" w:styleId="FootnoteText">
    <w:name w:val="footnote text"/>
    <w:basedOn w:val="Normal"/>
    <w:link w:val="FootnoteTextChar"/>
    <w:uiPriority w:val="99"/>
    <w:semiHidden/>
    <w:unhideWhenUsed/>
    <w:rsid w:val="000910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10B3"/>
    <w:rPr>
      <w:sz w:val="20"/>
      <w:szCs w:val="20"/>
    </w:rPr>
  </w:style>
  <w:style w:type="character" w:styleId="FootnoteReference">
    <w:name w:val="footnote reference"/>
    <w:basedOn w:val="DefaultParagraphFont"/>
    <w:uiPriority w:val="99"/>
    <w:semiHidden/>
    <w:unhideWhenUsed/>
    <w:rsid w:val="000910B3"/>
    <w:rPr>
      <w:vertAlign w:val="superscript"/>
    </w:rPr>
  </w:style>
  <w:style w:type="paragraph" w:styleId="ListParagraph">
    <w:name w:val="List Paragraph"/>
    <w:basedOn w:val="Normal"/>
    <w:uiPriority w:val="34"/>
    <w:qFormat/>
    <w:rsid w:val="00C44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in/toghrul-ahmadov-b60782243/" TargetMode="External"/><Relationship Id="rId5" Type="http://schemas.openxmlformats.org/officeDocument/2006/relationships/webSettings" Target="webSettings.xml"/><Relationship Id="rId10" Type="http://schemas.openxmlformats.org/officeDocument/2006/relationships/hyperlink" Target="http://www.neqsolholding.com" TargetMode="Externa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fMOlfsR7SM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D4B9F-998C-4D64-9DDF-D993C7B74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Toghrul Ahmadov</dc:creator>
  <cp:keywords/>
  <dc:description/>
  <cp:lastModifiedBy>Toghrul Ahmadov</cp:lastModifiedBy>
  <cp:revision>2</cp:revision>
  <dcterms:created xsi:type="dcterms:W3CDTF">2023-04-05T10:25:00Z</dcterms:created>
  <dcterms:modified xsi:type="dcterms:W3CDTF">2023-04-05T11:00:00Z</dcterms:modified>
</cp:coreProperties>
</file>