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8"/>
        <w:jc w:val="center"/>
        <w:rPr>
          <w:rFonts w:ascii="Times New Roman" w:hAnsi="Times New Roman"/>
          <w:sz w:val="32"/>
          <w:szCs w:val="32"/>
          <w:u w:color="000000"/>
          <w:rtl w:val="0"/>
        </w:rPr>
      </w:pPr>
    </w:p>
    <w:p>
      <w:pPr>
        <w:pStyle w:val="По умолчанию"/>
        <w:bidi w:val="0"/>
        <w:spacing w:after="240" w:line="280" w:lineRule="atLeast"/>
        <w:ind w:left="0" w:right="0" w:firstLine="0"/>
        <w:jc w:val="center"/>
        <w:rPr>
          <w:rFonts w:ascii="Times" w:cs="Times" w:hAnsi="Times" w:eastAsia="Times"/>
          <w:sz w:val="32"/>
          <w:szCs w:val="32"/>
          <w:rtl w:val="0"/>
        </w:rPr>
      </w:pPr>
      <w:r>
        <w:rPr>
          <w:rFonts w:ascii="Times" w:hAnsi="Times"/>
          <w:sz w:val="32"/>
          <w:szCs w:val="32"/>
          <w:rtl w:val="0"/>
          <w:lang w:val="en-US"/>
        </w:rPr>
        <w:t xml:space="preserve">The rationale for the effectiveness of systemic treatment of breast cancer depending on the body weight index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center"/>
        <w:rPr>
          <w:rFonts w:ascii="Times New Roman" w:cs="Times New Roman" w:hAnsi="Times New Roman" w:eastAsia="Times New Roman"/>
          <w:sz w:val="28"/>
          <w:szCs w:val="28"/>
          <w:u w:color="000000"/>
          <w:shd w:val="clear" w:color="auto" w:fill="ffffff"/>
          <w:rtl w:val="0"/>
          <w:lang w:val="en-US"/>
        </w:rPr>
      </w:pPr>
      <w:r>
        <w:rPr>
          <w:rFonts w:ascii="Times New Roman" w:cs="Calibri" w:hAnsi="Times New Roman" w:eastAsia="Calibri"/>
          <w:color w:val="222222"/>
          <w:sz w:val="28"/>
          <w:szCs w:val="28"/>
          <w:u w:color="222222"/>
          <w:shd w:val="clear" w:color="auto" w:fill="ffffff"/>
          <w:rtl w:val="0"/>
          <w:lang w:val="en-US"/>
        </w:rPr>
        <w:t>Hojouj M.I.M.</w:t>
      </w:r>
      <w:r>
        <w:rPr>
          <w:rFonts w:ascii="Times New Roman" w:cs="Calibri" w:hAnsi="Times New Roman" w:eastAsia="Calibri"/>
          <w:color w:val="222222"/>
          <w:sz w:val="28"/>
          <w:szCs w:val="28"/>
          <w:u w:color="222222"/>
          <w:shd w:val="clear" w:color="auto" w:fill="ffffff"/>
          <w:rtl w:val="0"/>
          <w:lang w:val="ru-RU"/>
        </w:rPr>
        <w:t xml:space="preserve"> </w:t>
      </w:r>
      <w:r>
        <w:rPr>
          <w:rFonts w:ascii="Times New Roman" w:cs="Calibri" w:hAnsi="Times New Roman" w:eastAsia="Calibri"/>
          <w:color w:val="222222"/>
          <w:sz w:val="28"/>
          <w:szCs w:val="28"/>
          <w:u w:color="222222"/>
          <w:shd w:val="clear" w:color="auto" w:fill="ffffff"/>
          <w:rtl w:val="0"/>
          <w:lang w:val="en-US"/>
        </w:rPr>
        <w:t>Hojouj T.V</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right"/>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"Dnipropetrovsk medical academy of Health Ministry of Ukraine"</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right"/>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Department of oncology and medical radiology</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right"/>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VolodymyrVernadskii str., 9, Dnipro, 49044, Ukraine</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right"/>
        <w:rPr>
          <w:rStyle w:val="Hyperlink.0"/>
          <w:rFonts w:ascii="Times New Roman" w:cs="Times New Roman" w:hAnsi="Times New Roman" w:eastAsia="Times New Roman"/>
          <w:color w:val="0000ff"/>
          <w:sz w:val="24"/>
          <w:szCs w:val="24"/>
          <w:u w:val="single" w:color="0000ff"/>
          <w:rtl w:val="0"/>
          <w:lang w:val="en-US"/>
        </w:rPr>
      </w:pPr>
      <w:r>
        <w:rPr>
          <w:rStyle w:val="Hyperlink.0"/>
          <w:rFonts w:ascii="Times New Roman" w:cs="Times New Roman" w:hAnsi="Times New Roman" w:eastAsia="Times New Roman"/>
          <w:color w:val="0000ff"/>
          <w:sz w:val="24"/>
          <w:szCs w:val="24"/>
          <w:u w:val="single" w:color="0000ff"/>
          <w:rtl w:val="0"/>
          <w:lang w:val="en-US"/>
        </w:rPr>
        <w:fldChar w:fldCharType="begin" w:fldLock="0"/>
      </w:r>
      <w:r>
        <w:rPr>
          <w:rStyle w:val="Hyperlink.0"/>
          <w:rFonts w:ascii="Times New Roman" w:cs="Times New Roman" w:hAnsi="Times New Roman" w:eastAsia="Times New Roman"/>
          <w:color w:val="0000ff"/>
          <w:sz w:val="24"/>
          <w:szCs w:val="24"/>
          <w:u w:val="single" w:color="0000ff"/>
          <w:rtl w:val="0"/>
          <w:lang w:val="en-US"/>
        </w:rPr>
        <w:instrText xml:space="preserve"> HYPERLINK "mailto:Hojouj@yahoo.com"</w:instrText>
      </w:r>
      <w:r>
        <w:rPr>
          <w:rStyle w:val="Hyperlink.0"/>
          <w:rFonts w:ascii="Times New Roman" w:cs="Times New Roman" w:hAnsi="Times New Roman" w:eastAsia="Times New Roman"/>
          <w:color w:val="0000ff"/>
          <w:sz w:val="24"/>
          <w:szCs w:val="24"/>
          <w:u w:val="single" w:color="0000ff"/>
          <w:rtl w:val="0"/>
          <w:lang w:val="en-US"/>
        </w:rPr>
        <w:fldChar w:fldCharType="separate" w:fldLock="0"/>
      </w:r>
      <w:r>
        <w:rPr>
          <w:rStyle w:val="Hyperlink.0"/>
          <w:rFonts w:ascii="Times New Roman" w:cs="Calibri" w:hAnsi="Times New Roman" w:eastAsia="Calibri"/>
          <w:color w:val="0000ff"/>
          <w:sz w:val="24"/>
          <w:szCs w:val="24"/>
          <w:u w:val="single" w:color="0000ff"/>
          <w:rtl w:val="0"/>
          <w:lang w:val="en-US"/>
        </w:rPr>
        <w:t>Hojouj@yahoo.com</w:t>
      </w:r>
      <w:r>
        <w:rPr>
          <w:rFonts w:ascii="Calibri" w:cs="Calibri" w:hAnsi="Calibri" w:eastAsia="Calibri"/>
          <w:u w:color="000000"/>
          <w:rtl w:val="0"/>
          <w:lang w:val="en-US"/>
        </w:rPr>
        <w:fldChar w:fldCharType="end" w:fldLock="0"/>
      </w:r>
    </w:p>
    <w:p>
      <w:pPr>
        <w:pStyle w:val="Текстовый блок"/>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after="200" w:line="276" w:lineRule="auto"/>
        <w:ind w:left="0" w:right="0" w:firstLine="0"/>
        <w:jc w:val="both"/>
        <w:rPr>
          <w:rFonts w:ascii="Calibri" w:cs="Calibri" w:hAnsi="Calibri" w:eastAsia="Calibri"/>
          <w:u w:color="000000"/>
          <w:rtl w:val="0"/>
          <w:lang w:val="ru-RU"/>
        </w:rPr>
      </w:pP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8"/>
        <w:jc w:val="both"/>
        <w:rPr>
          <w:rFonts w:ascii="Times New Roman" w:cs="Times New Roman" w:hAnsi="Times New Roman" w:eastAsia="Times New Roman"/>
          <w:sz w:val="28"/>
          <w:szCs w:val="28"/>
          <w:u w:color="000000"/>
          <w:rtl w:val="0"/>
        </w:rPr>
      </w:pP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8"/>
        <w:jc w:val="both"/>
        <w:rPr>
          <w:rFonts w:ascii="Times New Roman" w:cs="Times New Roman" w:hAnsi="Times New Roman" w:eastAsia="Times New Roman"/>
          <w:sz w:val="28"/>
          <w:szCs w:val="28"/>
          <w:u w:color="000000"/>
          <w:rtl w:val="0"/>
        </w:rPr>
      </w:pPr>
      <w:r>
        <w:rPr>
          <w:rStyle w:val="Нет"/>
          <w:rFonts w:ascii="Times New Roman" w:hAnsi="Times New Roman"/>
          <w:sz w:val="28"/>
          <w:szCs w:val="28"/>
          <w:u w:color="000000"/>
          <w:rtl w:val="0"/>
          <w:lang w:val="en-US"/>
        </w:rPr>
        <w:t>The prevalence of breast cancer (BMD) in the world in general and in Ukraine is steadily increasing. Epidemiological, experimental and clinical studies have shown that metabolic disturbances associated with body mass index (BMI)&gt; 30 kg / m2 increase the risk of occurrence and worsen the clinical course of breast cancer. Thus, in patients with obesity, a decrease in the sensitivity of the tumor to systemic antitumor therapy, an increase in the frequency of postoperative complications and a decrease in the rates of general and non-recurrent survival</w:t>
      </w:r>
      <w:r>
        <w:rPr>
          <w:rFonts w:ascii="Times New Roman" w:hAnsi="Times New Roman"/>
          <w:sz w:val="28"/>
          <w:szCs w:val="28"/>
          <w:u w:color="000000"/>
          <w:rtl w:val="0"/>
        </w:rPr>
        <w:t>.</w:t>
      </w:r>
      <w:r>
        <w:rPr>
          <w:rStyle w:val="Нет"/>
          <w:rFonts w:ascii="Times New Roman" w:hAnsi="Times New Roman"/>
          <w:sz w:val="28"/>
          <w:szCs w:val="28"/>
          <w:u w:color="000000"/>
          <w:rtl w:val="0"/>
          <w:lang w:val="en-US"/>
        </w:rPr>
        <w:t xml:space="preserve">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8"/>
        <w:jc w:val="both"/>
        <w:rPr>
          <w:rFonts w:ascii="Times New Roman" w:cs="Times New Roman" w:hAnsi="Times New Roman" w:eastAsia="Times New Roman"/>
          <w:sz w:val="28"/>
          <w:szCs w:val="28"/>
          <w:u w:color="000000"/>
          <w:rtl w:val="0"/>
        </w:rPr>
      </w:pPr>
      <w:r>
        <w:rPr>
          <w:rStyle w:val="Нет"/>
          <w:rFonts w:ascii="Times New Roman" w:hAnsi="Times New Roman"/>
          <w:sz w:val="28"/>
          <w:szCs w:val="28"/>
          <w:u w:color="000000"/>
          <w:rtl w:val="0"/>
          <w:lang w:val="en-US"/>
        </w:rPr>
        <w:t>The aim of the study was to improve the results of neoadjuvant systemic antitumor therapy in breast cancer patients with abdominal obesity (BMI greater than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by administering levocarnitine in combination with NSAT for the correction of metabolic disorders as the main pathogenetic part of obesity.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8"/>
        <w:jc w:val="both"/>
        <w:rPr>
          <w:rFonts w:ascii="Times New Roman" w:cs="Times New Roman" w:hAnsi="Times New Roman" w:eastAsia="Times New Roman"/>
          <w:sz w:val="28"/>
          <w:szCs w:val="28"/>
          <w:u w:color="000000"/>
          <w:rtl w:val="0"/>
        </w:rPr>
      </w:pPr>
      <w:r>
        <w:rPr>
          <w:rStyle w:val="Нет"/>
          <w:rFonts w:ascii="Times New Roman" w:hAnsi="Times New Roman"/>
          <w:sz w:val="28"/>
          <w:szCs w:val="28"/>
          <w:u w:color="000000"/>
          <w:rtl w:val="0"/>
          <w:lang w:val="en-US"/>
        </w:rPr>
        <w:t>For the study used a retrospective study between 2010 and 2014 three hundred patients (prevalence of 12.4% which is 100 thousand. population in the Dnipropetrovsk region)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morphologically verified diagnosis of different forms of breast cancer and all stages (I- IV). Subsequently, a group of comparisons with abdominal obesity BMI&gt; 30kg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with a definite molecular subtype of tumor, levels of expression of estrogen receptor ER, progesterone PgR, Her-2 / neu, Ki-67 proliferation index was formed. The observation group of patients with breast cancer and BMI&gt; 30kg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was formed in the period from 2014 to 2018 due to prospective observation of "case-control". Thus, the study involved 108 patients aged 32 to 76 years (mean age (58 </w:t>
      </w:r>
      <w:r>
        <w:rPr>
          <w:rStyle w:val="Нет"/>
          <w:rFonts w:ascii="Times New Roman" w:hAnsi="Times New Roman" w:hint="default"/>
          <w:sz w:val="28"/>
          <w:szCs w:val="28"/>
          <w:u w:color="000000"/>
          <w:rtl w:val="0"/>
          <w:lang w:val="en-US"/>
        </w:rPr>
        <w:t xml:space="preserve">± </w:t>
      </w:r>
      <w:r>
        <w:rPr>
          <w:rStyle w:val="Нет"/>
          <w:rFonts w:ascii="Times New Roman" w:hAnsi="Times New Roman"/>
          <w:sz w:val="28"/>
          <w:szCs w:val="28"/>
          <w:u w:color="000000"/>
          <w:rtl w:val="0"/>
          <w:lang w:val="en-US"/>
        </w:rPr>
        <w:t>2). With nodal breast cancer II-III stage. As a result of randomization of all patients (n = 108) on breast cancer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depending on the appointment of levocarnitine during NSAT, were divided into 2 groups: comparison and observation. In the comparison group, patients (n = 58)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patients with breast cancer who did not receive levocarnitine during NSPT, and in the, observation group - patients (n = 50) on breast cancer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who received levocarnitine during NIST. For the first time, on the basis of a comprehensive analysis of the results, it was established that the appointment of levocarnitine in patients with breast cancer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contributes to increasing the clinical and morphological efficacy of neoadjuvant systemic antitumor therapy (NSAT). It was found that in patients with breast cancer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who were prescribed levocarnitine, organosurgery surgical interventions were significantly more frequent. The algorithm of diagnosis and treatment of breast cancer in patients with obesity has been developed and scientifically substantiated. A theoretical generalization of modern scientific data on the influence of metabolic disorders that are characteristic of obesity, on carcinogenesis of breast cancer is carried out. A complex (integrated) scheme of mechanisms of influence of molecular disorders associated with obesity, on carcinogenesis of breast cancer is developed. It is determined that the leading role in carcinogenesis is played by: abdominal obesity, hyperglycemia, dyslipidemia and chronic subclinical inflammation. The carcinogenic effect of these factors is realized due to the ability of the adipose tissue of the mammary glands to increase the local concentration of estrogen by peripheral aromatization of androgens, the mitogenic effect of metabolic disorders on the epithelium of the mammary gland. It was established that in patients with breast cancer with BMI greater than 30 kg / m</w:t>
      </w:r>
      <w:r>
        <w:rPr>
          <w:rStyle w:val="Нет"/>
          <w:rFonts w:ascii="Times New Roman" w:hAnsi="Times New Roman"/>
          <w:sz w:val="24"/>
          <w:szCs w:val="24"/>
          <w:u w:color="000000"/>
          <w:vertAlign w:val="superscript"/>
          <w:rtl w:val="0"/>
          <w:lang w:val="en-US"/>
        </w:rPr>
        <w:t>2</w:t>
      </w:r>
      <w:r>
        <w:rPr>
          <w:rStyle w:val="Нет"/>
          <w:rFonts w:ascii="Times New Roman" w:hAnsi="Times New Roman"/>
          <w:sz w:val="28"/>
          <w:szCs w:val="28"/>
          <w:u w:color="000000"/>
          <w:rtl w:val="0"/>
          <w:lang w:val="en-US"/>
        </w:rPr>
        <w:t xml:space="preserve"> receiving levocarnitine, a statistically significant increase in the number of cases of clinically complete regression of tumors was observed at 12.8% (5.2% vs. 18.0%; p &lt;0.05) and a partial regression of 13.1% (6.9% vs. 20.0%, p &lt;0.05). Lowering the frequency of breast cancer progressing on the background neoadjuvant systemic anticancer therapy in patients with a group of observations by 44.3% compared with women with the comparison group (16.0 vs. 60.3%, p &lt;0.05). According to the results of analysis of the parameters of cellular, humoral immunity (CD3, CD4, CD8, IgG, IgM, IgA) and proinflammatory cytokines (IL-6, TNF</w:t>
      </w:r>
      <w:r>
        <w:rPr>
          <w:rStyle w:val="Нет"/>
          <w:rFonts w:ascii="Times New Roman" w:hAnsi="Times New Roman" w:hint="default"/>
          <w:sz w:val="28"/>
          <w:szCs w:val="28"/>
          <w:u w:color="000000"/>
          <w:rtl w:val="0"/>
          <w:lang w:val="en-US"/>
        </w:rPr>
        <w:t>α</w:t>
      </w:r>
      <w:r>
        <w:rPr>
          <w:rStyle w:val="Нет"/>
          <w:rFonts w:ascii="Times New Roman" w:hAnsi="Times New Roman"/>
          <w:sz w:val="28"/>
          <w:szCs w:val="28"/>
          <w:u w:color="000000"/>
          <w:rtl w:val="0"/>
          <w:lang w:val="en-US"/>
        </w:rPr>
        <w:t>), there was a decrease in the number of patients with breast cancer with BMI greater than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in (NSAT) Levocarnitine with regression rates was used for juvenile systemic anticancer therapy, namely: for CD3, which was 41.4%; for CD4, which was 50.0%; for CD8, which was 23.5%; for IgG, which was 40.4%; for IgM, which equaled 48.7%; for IgA, which was 44.4%; for IL-6, which was 51.1%; for CD3, which was 50.0%, respectively. It was found that the appointment of levocarnitine in patients with breast cancer with BMI greater than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during preoperative systemic antitumor therapy increases its efficacy compared with patients who received neoadjuvant systemic antitumor therapy. Registered increase in the incidence of clinically significant responses (CR + PR) for the treatment in 63.2% of patients in the observation group who were administered in the treatment Levocarnitine (28.0% vs. 12.1%, p &lt;0.05) compared with a comparison group. Based on the research, it was proved that in the group of patients with BMI greater than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receiving levocarnitine, there was a statistically significant increase in the frequency of performing functionally justified organoleptic operations by 53.8% compared with the comparison group (27.1% vs. 10.9%; p &lt;0.05). Also, the administration of levocarnitine during neoadjuvant systemic antitumor therapy increases the number of cases of complete morphological regression (V degree of curative pathomorphosis) by 77.8% in the observation group compared to patients from the comparison group (18.8% vs. 3.6%; p &lt;0.05). Found that neoadjuvant systemic anticancer therapy in breast cancer patients with a BMI over 30 kg / m2 does not affect the degree of differentiation and histological type of tumor and the expression of Her2 / neu (p&gt; 0.05). After neoadjuvant systemic anticancer therapy, regardless of the purpose levocarnitine in decreasing residual tumor cell proliferation index (Ki-67) and increased incidence of Luminal A molecular type of breast cancer. This may indicate that neoadjuvant systemic antitumor therapy leads to the death of the most aggressive tumor clones. It was investigated that the appointment of levocarnitine in patients with breast cancer with BMI greater than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does not affect the indicators of general and non-recurrent survival, with observation (18,1 </w:t>
      </w:r>
      <w:r>
        <w:rPr>
          <w:rStyle w:val="Нет"/>
          <w:rFonts w:ascii="Times New Roman" w:hAnsi="Times New Roman" w:hint="default"/>
          <w:sz w:val="28"/>
          <w:szCs w:val="28"/>
          <w:u w:color="000000"/>
          <w:rtl w:val="0"/>
          <w:lang w:val="en-US"/>
        </w:rPr>
        <w:t xml:space="preserve">± </w:t>
      </w:r>
      <w:r>
        <w:rPr>
          <w:rStyle w:val="Нет"/>
          <w:rFonts w:ascii="Times New Roman" w:hAnsi="Times New Roman"/>
          <w:sz w:val="28"/>
          <w:szCs w:val="28"/>
          <w:u w:color="000000"/>
          <w:rtl w:val="0"/>
          <w:lang w:val="en-US"/>
        </w:rPr>
        <w:t>1,5) months. These data are in the basis for integrated assessment and in-depth understanding of the negative impact of abdominal obesity associated with impaired carbohydrate and fat metabolism in carcinogenesis and criteria can be aggressive course of breast cancer and adverse prognostic factors. Correction of metabolic disorders caused by obesity, eliminates their negative impact on breast cancer carcinogenesis and prognosis of the disease, allowing you to customize and personalize the treatment strategy for breast cancer patients with a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and improve its results. When planning treatment in patients with breast cancer advisable to consider the presence of symptoms and diseases that are unique and are associated with obesity where BMI over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as the presence of disorders of carbohydrate and fat metabolism and hypertension is an indication for additional surveys aimed at identifying metabolic disorders with the aim of individualizing and personalizing tactics of systemic antitumor therapy. Against neoadjuvant systemic anticancer therapy for breast cancer patients with a BMI over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to be additionally administered drugs that increases the incidence of complete morphological regression. This drug is levocarnitine in therapeutic doses (1500 mg / day), which has proven to be an effective means to increase the number of cases of clinically relevant responses (CR + PR) to the treatment.</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8"/>
        <w:jc w:val="both"/>
        <w:rPr>
          <w:rFonts w:ascii="Times New Roman" w:cs="Times New Roman" w:hAnsi="Times New Roman" w:eastAsia="Times New Roman"/>
          <w:sz w:val="28"/>
          <w:szCs w:val="28"/>
          <w:u w:color="000000"/>
          <w:rtl w:val="0"/>
        </w:rPr>
      </w:pPr>
      <w:r>
        <w:rPr>
          <w:rStyle w:val="Нет"/>
          <w:rFonts w:ascii="Times New Roman" w:hAnsi="Times New Roman"/>
          <w:sz w:val="28"/>
          <w:szCs w:val="28"/>
          <w:u w:color="000000"/>
          <w:rtl w:val="0"/>
          <w:lang w:val="en-US"/>
        </w:rPr>
        <w:t>Analysis and systematization of the results of the study allowed to create algorithms of diagnosis and treatment from the standpoint of personalization and individualization, based on which there is a correlation dependence that can be used in the clinical practice of oncologic hospitals to improve the treatment of patients with breast cancer with BMI greater than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Thus, the use of neoadjuvant systemic antitumor therapy in combination with levocarnitine contributes to an increase in the number of cases of objective clinical (complete regression and partial regression) and morphological (therapeutic pathomorphosis IV and V degree) tumor response to cytotoxic breast cancer therapy in patients with BMI&gt;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xml:space="preserve"> and frequency of organ-saving surgical interventions.</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0"/>
        <w:jc w:val="both"/>
        <w:rPr>
          <w:rFonts w:ascii="Times New Roman" w:cs="Times New Roman" w:hAnsi="Times New Roman" w:eastAsia="Times New Roman"/>
          <w:sz w:val="28"/>
          <w:szCs w:val="28"/>
          <w:u w:color="000000"/>
          <w:rtl w:val="0"/>
        </w:rPr>
      </w:pPr>
      <w:r>
        <w:rPr>
          <w:rStyle w:val="Нет"/>
          <w:rFonts w:ascii="Times New Roman" w:hAnsi="Times New Roman"/>
          <w:sz w:val="28"/>
          <w:szCs w:val="28"/>
          <w:u w:color="000000"/>
          <w:rtl w:val="0"/>
          <w:lang w:val="en-US"/>
        </w:rPr>
        <w:t>Key words: breast cancer, obesity, neoadjuvant systemic antitumor therapy, body mass index&gt; 30 kg / m</w:t>
      </w:r>
      <w:r>
        <w:rPr>
          <w:rStyle w:val="Нет"/>
          <w:rFonts w:ascii="Times New Roman" w:hAnsi="Times New Roman"/>
          <w:sz w:val="28"/>
          <w:szCs w:val="28"/>
          <w:u w:color="000000"/>
          <w:vertAlign w:val="superscript"/>
          <w:rtl w:val="0"/>
          <w:lang w:val="en-US"/>
        </w:rPr>
        <w:t>2</w:t>
      </w:r>
      <w:r>
        <w:rPr>
          <w:rStyle w:val="Нет"/>
          <w:rFonts w:ascii="Times New Roman" w:hAnsi="Times New Roman"/>
          <w:sz w:val="28"/>
          <w:szCs w:val="28"/>
          <w:u w:color="000000"/>
          <w:rtl w:val="0"/>
          <w:lang w:val="en-US"/>
        </w:rPr>
        <w:t>, levocarnitine.</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0"/>
        <w:jc w:val="both"/>
        <w:rPr>
          <w:rFonts w:ascii="Times New Roman" w:cs="Times New Roman" w:hAnsi="Times New Roman" w:eastAsia="Times New Roman"/>
          <w:sz w:val="28"/>
          <w:szCs w:val="28"/>
          <w:u w:color="000000"/>
          <w:rtl w:val="0"/>
        </w:rPr>
      </w:pP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0"/>
        <w:jc w:val="center"/>
        <w:rPr>
          <w:rStyle w:val="Нет"/>
          <w:rFonts w:ascii="Times New Roman" w:cs="Times New Roman" w:hAnsi="Times New Roman" w:eastAsia="Times New Roman"/>
          <w:b w:val="1"/>
          <w:bCs w:val="1"/>
          <w:sz w:val="28"/>
          <w:szCs w:val="28"/>
          <w:u w:color="000000"/>
          <w:rtl w:val="0"/>
        </w:rPr>
      </w:pPr>
      <w:r>
        <w:rPr>
          <w:rStyle w:val="Нет"/>
          <w:rFonts w:ascii="Times New Roman" w:hAnsi="Times New Roman"/>
          <w:b w:val="1"/>
          <w:bCs w:val="1"/>
          <w:sz w:val="28"/>
          <w:szCs w:val="28"/>
          <w:u w:color="000000"/>
          <w:rtl w:val="0"/>
          <w:lang w:val="en-US"/>
        </w:rPr>
        <w:t>LIST OF PUBLISHED SCIENTIFIC WORKS OF THE APPLICANT ON THE TOPIC OF THE DISSERTATION</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0"/>
        <w:jc w:val="center"/>
        <w:rPr>
          <w:rStyle w:val="Нет"/>
          <w:rFonts w:ascii="Times New Roman" w:cs="Times New Roman" w:hAnsi="Times New Roman" w:eastAsia="Times New Roman"/>
          <w:b w:val="1"/>
          <w:bCs w:val="1"/>
          <w:sz w:val="28"/>
          <w:szCs w:val="28"/>
          <w:u w:color="000000"/>
          <w:rtl w:val="0"/>
          <w:lang w:val="en-US"/>
        </w:rPr>
      </w:pP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Elhazhzh MH, Bondarenko IM, Aseev OI, Shponka IS, Zavizion VF, Sklyar AS, Hodzhuzh MI ta in. Osoblivosti diagnostiki ta klinichnogo perebigu riznih imunogistohimichnih pidtipiv raku molochnoyi zalozi. Medichni perspektivi. 2014;XIX(3):29</w:t>
      </w:r>
      <w:r>
        <w:rPr>
          <w:rFonts w:ascii="Times New Roman" w:hAnsi="Times New Roman" w:hint="default"/>
          <w:sz w:val="28"/>
          <w:szCs w:val="28"/>
          <w:u w:color="000000"/>
          <w:rtl w:val="0"/>
        </w:rPr>
        <w:t>–</w:t>
      </w:r>
      <w:r>
        <w:rPr>
          <w:rFonts w:ascii="Times New Roman" w:hAnsi="Times New Roman"/>
          <w:sz w:val="28"/>
          <w:szCs w:val="28"/>
          <w:u w:color="000000"/>
          <w:rtl w:val="0"/>
        </w:rPr>
        <w:t xml:space="preserve">35.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2.</w:t>
        <w:tab/>
        <w:t>Bondarenko IN, Hodzhuzh Mohammad IM, Aseev AI, Elhazhzh MH, Zavizion VF, Kunik AV, Bobuh VP. Sovremennye podhody k profilaktike gematologicheskih oslozhnenij pri personificirovannoj himioterapii raka molochnoj zhelezy. Suchasni med. tehnologiyi. 2015;1:19</w:t>
      </w:r>
      <w:r>
        <w:rPr>
          <w:rFonts w:ascii="Times New Roman" w:hAnsi="Times New Roman" w:hint="default"/>
          <w:sz w:val="28"/>
          <w:szCs w:val="28"/>
          <w:u w:color="000000"/>
          <w:rtl w:val="0"/>
        </w:rPr>
        <w:t>–</w:t>
      </w:r>
      <w:r>
        <w:rPr>
          <w:rFonts w:ascii="Times New Roman" w:hAnsi="Times New Roman"/>
          <w:sz w:val="28"/>
          <w:szCs w:val="28"/>
          <w:u w:color="000000"/>
          <w:rtl w:val="0"/>
        </w:rPr>
        <w:t xml:space="preserve">28.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3.</w:t>
        <w:tab/>
        <w:t>Hodzhuzh Mohammad IM, Zavizion VF, Malceva LO. Polnyj patomorfologicheskij otvet pervichnoj Her2/neu</w:t>
      </w:r>
      <w:r>
        <w:rPr>
          <w:rFonts w:ascii="Times New Roman" w:hAnsi="Times New Roman" w:hint="default"/>
          <w:sz w:val="28"/>
          <w:szCs w:val="28"/>
          <w:u w:color="000000"/>
          <w:rtl w:val="0"/>
        </w:rPr>
        <w:t>–</w:t>
      </w:r>
      <w:r>
        <w:rPr>
          <w:rFonts w:ascii="Times New Roman" w:hAnsi="Times New Roman"/>
          <w:sz w:val="28"/>
          <w:szCs w:val="28"/>
          <w:u w:color="000000"/>
          <w:rtl w:val="0"/>
        </w:rPr>
        <w:t>pozitivnoj opuholi na neoadyuvantnoe lechenie po sheme TAS. Mediclub. 2016;4:1</w:t>
      </w:r>
      <w:r>
        <w:rPr>
          <w:rFonts w:ascii="Times New Roman" w:hAnsi="Times New Roman" w:hint="default"/>
          <w:sz w:val="28"/>
          <w:szCs w:val="28"/>
          <w:u w:color="000000"/>
          <w:rtl w:val="0"/>
        </w:rPr>
        <w:t>–</w:t>
      </w:r>
      <w:r>
        <w:rPr>
          <w:rFonts w:ascii="Times New Roman" w:hAnsi="Times New Roman"/>
          <w:sz w:val="28"/>
          <w:szCs w:val="28"/>
          <w:u w:color="000000"/>
          <w:rtl w:val="0"/>
          <w:lang w:val="en-US"/>
        </w:rPr>
        <w:t>4. URL: http://vista</w:t>
      </w:r>
      <w:r>
        <w:rPr>
          <w:rFonts w:ascii="Times New Roman" w:hAnsi="Times New Roman" w:hint="default"/>
          <w:sz w:val="28"/>
          <w:szCs w:val="28"/>
          <w:u w:color="000000"/>
          <w:rtl w:val="0"/>
        </w:rPr>
        <w:t>–</w:t>
      </w:r>
      <w:r>
        <w:rPr>
          <w:rFonts w:ascii="Times New Roman" w:hAnsi="Times New Roman"/>
          <w:sz w:val="28"/>
          <w:szCs w:val="28"/>
          <w:u w:color="000000"/>
          <w:rtl w:val="0"/>
          <w:lang w:val="en-US"/>
        </w:rPr>
        <w:t>mediclub.com/146</w:t>
      </w:r>
      <w:r>
        <w:rPr>
          <w:rFonts w:ascii="Times New Roman" w:hAnsi="Times New Roman" w:hint="default"/>
          <w:sz w:val="28"/>
          <w:szCs w:val="28"/>
          <w:u w:color="000000"/>
          <w:rtl w:val="0"/>
        </w:rPr>
        <w:t>–</w:t>
      </w:r>
      <w:r>
        <w:rPr>
          <w:rFonts w:ascii="Times New Roman" w:hAnsi="Times New Roman"/>
          <w:sz w:val="28"/>
          <w:szCs w:val="28"/>
          <w:u w:color="000000"/>
          <w:rtl w:val="0"/>
          <w:lang w:val="nl-NL"/>
        </w:rPr>
        <w:t xml:space="preserve">klinicheskij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4.</w:t>
        <w:tab/>
        <w:t>Bondarenko IN, Zavizion VF, Artemenko MV, Hodzhuzh MI, Malceva LO, Bilenkij IV ta in. Mozhlivosti imunogistohimichnih doslidzhen v prognozuvanni vidpovidi na likuvannya ta modifikaciyi likuvalnih zahodiv pri lyuminalnih rakah molochnoyi zalozi (oglyad literaturi). Medichni perspektivi. 2017;XXII(4):5</w:t>
      </w:r>
      <w:r>
        <w:rPr>
          <w:rFonts w:ascii="Times New Roman" w:hAnsi="Times New Roman" w:hint="default"/>
          <w:sz w:val="28"/>
          <w:szCs w:val="28"/>
          <w:u w:color="000000"/>
          <w:rtl w:val="0"/>
        </w:rPr>
        <w:t>–</w:t>
      </w:r>
      <w:r>
        <w:rPr>
          <w:rFonts w:ascii="Times New Roman" w:hAnsi="Times New Roman"/>
          <w:sz w:val="28"/>
          <w:szCs w:val="28"/>
          <w:u w:color="000000"/>
          <w:rtl w:val="0"/>
        </w:rPr>
        <w:t xml:space="preserve">12.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5.</w:t>
        <w:tab/>
        <w:t xml:space="preserve">Hojouj M, Bondarenko I. BMI effect prognostic features of breast cancer treatments. Oxford University Press. Journal Annals of Oncology. 2016;27(9):576.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6.</w:t>
        <w:tab/>
        <w:t>Hojouj M, Bondarenko Y, Bondarenko I, Dmytrenko K, Zavizion V. Antioxidant hematological toxicity during chemotherapy for breast cancer. Journal of Cytology &amp; Histology. 2017;8(4):478</w:t>
      </w:r>
      <w:r>
        <w:rPr>
          <w:rFonts w:ascii="Times New Roman" w:hAnsi="Times New Roman" w:hint="default"/>
          <w:sz w:val="28"/>
          <w:szCs w:val="28"/>
          <w:u w:color="000000"/>
          <w:rtl w:val="0"/>
        </w:rPr>
        <w:t>–</w:t>
      </w:r>
      <w:r>
        <w:rPr>
          <w:rFonts w:ascii="Times New Roman" w:hAnsi="Times New Roman"/>
          <w:sz w:val="28"/>
          <w:szCs w:val="28"/>
          <w:u w:color="000000"/>
          <w:rtl w:val="0"/>
        </w:rPr>
        <w:t xml:space="preserve">83.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7.</w:t>
        <w:tab/>
        <w:t>Hojouj Mohammad, Bondarenko IN, Zavizion VF, Maltsova L, Soloviova NE. Systemic treatment of breast cancer depending on BMI using L</w:t>
      </w:r>
      <w:r>
        <w:rPr>
          <w:rFonts w:ascii="Times New Roman" w:hAnsi="Times New Roman" w:hint="default"/>
          <w:sz w:val="28"/>
          <w:szCs w:val="28"/>
          <w:u w:color="000000"/>
          <w:rtl w:val="0"/>
        </w:rPr>
        <w:t>–</w:t>
      </w:r>
      <w:r>
        <w:rPr>
          <w:rFonts w:ascii="Times New Roman" w:hAnsi="Times New Roman"/>
          <w:sz w:val="28"/>
          <w:szCs w:val="28"/>
          <w:u w:color="000000"/>
          <w:rtl w:val="0"/>
          <w:lang w:val="en-US"/>
        </w:rPr>
        <w:t>Carnitine. Cancer Studies and Therapeutics. Cancer Stud Ther J. 2017;2(4):1</w:t>
      </w:r>
      <w:r>
        <w:rPr>
          <w:rFonts w:ascii="Times New Roman" w:hAnsi="Times New Roman" w:hint="default"/>
          <w:sz w:val="28"/>
          <w:szCs w:val="28"/>
          <w:u w:color="000000"/>
          <w:rtl w:val="0"/>
        </w:rPr>
        <w:t>–</w:t>
      </w:r>
      <w:r>
        <w:rPr>
          <w:rFonts w:ascii="Times New Roman" w:hAnsi="Times New Roman"/>
          <w:sz w:val="28"/>
          <w:szCs w:val="28"/>
          <w:u w:color="000000"/>
          <w:rtl w:val="0"/>
        </w:rPr>
        <w:t xml:space="preserve">3.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8.</w:t>
        <w:tab/>
        <w:t>Hojouj Mohammad IM, Chabanova K, Bondarenko IN, Zavizion V, Maltsova L, Tereshinko P. Justification effectiveness of systemic treatment of breast cancer depending on body mass index. Trends Clin Med Imaging. 2017;1(5):1</w:t>
      </w:r>
      <w:r>
        <w:rPr>
          <w:rFonts w:ascii="Times New Roman" w:hAnsi="Times New Roman" w:hint="default"/>
          <w:sz w:val="28"/>
          <w:szCs w:val="28"/>
          <w:u w:color="000000"/>
          <w:rtl w:val="0"/>
        </w:rPr>
        <w:t>–</w:t>
      </w:r>
      <w:r>
        <w:rPr>
          <w:rFonts w:ascii="Times New Roman" w:hAnsi="Times New Roman"/>
          <w:sz w:val="28"/>
          <w:szCs w:val="28"/>
          <w:u w:color="000000"/>
          <w:rtl w:val="0"/>
        </w:rPr>
        <w:t xml:space="preserve">4.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9.</w:t>
        <w:tab/>
        <w:t>Hojouj Mohammad, Bondarenko I, Zavizion V, Artemnko M, Soloviova N, Bondarenko Y, et al. Antioxidant correction of system therapy hematological toxicity of breast cancer. Journal of Cytology &amp; Histology. 2017;8:5</w:t>
      </w:r>
      <w:r>
        <w:rPr>
          <w:rFonts w:ascii="Times New Roman" w:hAnsi="Times New Roman" w:hint="default"/>
          <w:sz w:val="28"/>
          <w:szCs w:val="28"/>
          <w:u w:color="000000"/>
          <w:rtl w:val="0"/>
        </w:rPr>
        <w:t>–</w:t>
      </w:r>
      <w:r>
        <w:rPr>
          <w:rFonts w:ascii="Times New Roman" w:hAnsi="Times New Roman"/>
          <w:sz w:val="28"/>
          <w:szCs w:val="28"/>
          <w:u w:color="000000"/>
          <w:rtl w:val="0"/>
        </w:rPr>
        <w:t xml:space="preserve">8.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10.</w:t>
        <w:tab/>
        <w:t>Hojouj Mohammad MI, Bondarenko Y, Zavizion VF, Hojouj TV, Shtvchenko YA, Salviova N. Subjection between breast cancer  and body mass index, the role of  L</w:t>
      </w:r>
      <w:r>
        <w:rPr>
          <w:rFonts w:ascii="Times New Roman" w:hAnsi="Times New Roman" w:hint="default"/>
          <w:sz w:val="28"/>
          <w:szCs w:val="28"/>
          <w:u w:color="000000"/>
          <w:rtl w:val="0"/>
        </w:rPr>
        <w:t>–</w:t>
      </w:r>
      <w:r>
        <w:rPr>
          <w:rFonts w:ascii="Times New Roman" w:hAnsi="Times New Roman"/>
          <w:sz w:val="28"/>
          <w:szCs w:val="28"/>
          <w:u w:color="000000"/>
          <w:rtl w:val="0"/>
          <w:lang w:val="en-US"/>
        </w:rPr>
        <w:t xml:space="preserve">Carnitine in prediction and outcomes of the disease. Open Acc J Oncol Med. 2018;1(1):1-3.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11.</w:t>
        <w:tab/>
        <w:t>Hojouj MIM, Bondarenko IN, Zavizion VF, Artemenko MV, Hojouj TV, Bondarenko YN, Soloviova NE. Breast cancer and body weight index: the role of L-carnitine in prediction of ans-wer to treatment and outcome of tumor in patients with obesity (review of literature). Medicni perspektivi. 2018;XXIII(1):134</w:t>
      </w:r>
      <w:r>
        <w:rPr>
          <w:rFonts w:ascii="Times New Roman" w:hAnsi="Times New Roman" w:hint="default"/>
          <w:sz w:val="28"/>
          <w:szCs w:val="28"/>
          <w:u w:color="000000"/>
          <w:rtl w:val="0"/>
        </w:rPr>
        <w:t>–</w:t>
      </w:r>
      <w:r>
        <w:rPr>
          <w:rFonts w:ascii="Times New Roman" w:hAnsi="Times New Roman"/>
          <w:sz w:val="28"/>
          <w:szCs w:val="28"/>
          <w:u w:color="000000"/>
          <w:rtl w:val="0"/>
        </w:rPr>
        <w:t xml:space="preserve">8.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12.</w:t>
        <w:tab/>
        <w:t>Hojouj Mohammad MI. Individualization of neoadjuvant chemotherapy in breast cancer. SM J Clin Pathol. 2018;3(1):1013</w:t>
      </w:r>
      <w:r>
        <w:rPr>
          <w:rFonts w:ascii="Times New Roman" w:hAnsi="Times New Roman" w:hint="default"/>
          <w:sz w:val="28"/>
          <w:szCs w:val="28"/>
          <w:u w:color="000000"/>
          <w:rtl w:val="0"/>
        </w:rPr>
        <w:t>–</w:t>
      </w:r>
      <w:r>
        <w:rPr>
          <w:rFonts w:ascii="Times New Roman" w:hAnsi="Times New Roman"/>
          <w:sz w:val="28"/>
          <w:szCs w:val="28"/>
          <w:u w:color="000000"/>
          <w:rtl w:val="0"/>
        </w:rPr>
        <w:t>9. (Zdobuvach samostijno provodiv pidbir ta obstezhennya tematichnih hvorih, analiz ta uzagalnennya rezultativ, pidgotuvav publikaciyu do druku).</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13.</w:t>
        <w:tab/>
        <w:t xml:space="preserve">Hojouj Mohammad MI, Bondarenko IN, Zavizion VF, Hojouj T. L-Carnitine in neoadjuvant systemic treatment in breast cancer patients with metabolic syndrome. J. Bioanal Biomed. 2018;10:86.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14.</w:t>
        <w:tab/>
        <w:t>Hodzhuzh Mohammad IM, Bondarenko IN, Kunik AV. Epidemiologicheskij analiz razlichnyh immunogistohimicheskih podtipov raka molochnoj zhelezy. XXII Mezhdunarodnaya nauchno</w:t>
      </w:r>
      <w:r>
        <w:rPr>
          <w:rFonts w:ascii="Times New Roman" w:hAnsi="Times New Roman" w:hint="default"/>
          <w:sz w:val="28"/>
          <w:szCs w:val="28"/>
          <w:u w:color="000000"/>
          <w:rtl w:val="0"/>
        </w:rPr>
        <w:t>–</w:t>
      </w:r>
      <w:r>
        <w:rPr>
          <w:rFonts w:ascii="Times New Roman" w:hAnsi="Times New Roman"/>
          <w:sz w:val="28"/>
          <w:szCs w:val="28"/>
          <w:u w:color="000000"/>
          <w:rtl w:val="0"/>
        </w:rPr>
        <w:t>prakticheskaya konferenciya: materialy. Moskva, 2014;2(18):45</w:t>
      </w:r>
      <w:r>
        <w:rPr>
          <w:rFonts w:ascii="Times New Roman" w:hAnsi="Times New Roman" w:hint="default"/>
          <w:sz w:val="28"/>
          <w:szCs w:val="28"/>
          <w:u w:color="000000"/>
          <w:rtl w:val="0"/>
        </w:rPr>
        <w:t>–</w:t>
      </w:r>
      <w:r>
        <w:rPr>
          <w:rFonts w:ascii="Times New Roman" w:hAnsi="Times New Roman"/>
          <w:sz w:val="28"/>
          <w:szCs w:val="28"/>
          <w:u w:color="000000"/>
          <w:rtl w:val="0"/>
        </w:rPr>
        <w:t xml:space="preserve">50.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15.</w:t>
        <w:tab/>
        <w:t>Hazhzh MM, Bondarenko IN, Aseev AI, Zavizion VF, Kunik AV, Bobuh VP, Chernenko SI, Hodzhuzh Mohammad IM. Klinicheskoe techenie i osobennosti diagnostiki osnovnyh immunogistohimicheskih podtipov raka molochnoj zhelezy. Mezhdunarodnaya nauchno</w:t>
      </w:r>
      <w:r>
        <w:rPr>
          <w:rFonts w:ascii="Times New Roman" w:hAnsi="Times New Roman" w:hint="default"/>
          <w:sz w:val="28"/>
          <w:szCs w:val="28"/>
          <w:u w:color="000000"/>
          <w:rtl w:val="0"/>
        </w:rPr>
        <w:t>–</w:t>
      </w:r>
      <w:r>
        <w:rPr>
          <w:rFonts w:ascii="Times New Roman" w:hAnsi="Times New Roman"/>
          <w:sz w:val="28"/>
          <w:szCs w:val="28"/>
          <w:u w:color="000000"/>
          <w:rtl w:val="0"/>
        </w:rPr>
        <w:t xml:space="preserve">prakticheskaya konferenciya: Nauka i obrazovanie v HHI-m veke: Sb.nauch.trudov. Moskva, 30 dekabrya 2013. M.: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de-DE"/>
        </w:rPr>
        <w:t>AR-Konsalt</w:t>
      </w:r>
      <w:r>
        <w:rPr>
          <w:rFonts w:ascii="Times New Roman" w:hAnsi="Times New Roman" w:hint="default"/>
          <w:sz w:val="28"/>
          <w:szCs w:val="28"/>
          <w:u w:color="000000"/>
          <w:rtl w:val="0"/>
          <w:lang w:val="it-IT"/>
        </w:rPr>
        <w:t>»</w:t>
      </w:r>
      <w:r>
        <w:rPr>
          <w:rFonts w:ascii="Times New Roman" w:hAnsi="Times New Roman"/>
          <w:sz w:val="28"/>
          <w:szCs w:val="28"/>
          <w:u w:color="000000"/>
          <w:rtl w:val="0"/>
        </w:rPr>
        <w:t>. 2014;1:10</w:t>
      </w:r>
      <w:r>
        <w:rPr>
          <w:rFonts w:ascii="Times New Roman" w:hAnsi="Times New Roman" w:hint="default"/>
          <w:sz w:val="28"/>
          <w:szCs w:val="28"/>
          <w:u w:color="000000"/>
          <w:rtl w:val="0"/>
        </w:rPr>
        <w:t>–</w:t>
      </w:r>
      <w:r>
        <w:rPr>
          <w:rFonts w:ascii="Times New Roman" w:hAnsi="Times New Roman"/>
          <w:sz w:val="28"/>
          <w:szCs w:val="28"/>
          <w:u w:color="000000"/>
          <w:rtl w:val="0"/>
        </w:rPr>
        <w:t xml:space="preserve">3.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16.</w:t>
        <w:tab/>
        <w:t>Bondarenko IN, Zavizion VF, Hodzhuzh MIM, Artemenko MV, Dmitrenko EA, Elhazhzh MH i dr. Vliyanie indeksa massy tela na prognoz u bolnyh metastaticheskim rakom molochnoj zhelezy. Novejshie metody diagnostiki, profilaktiki i lecheniya onkologicheskih zabolevanij: nauch.</w:t>
      </w:r>
      <w:r>
        <w:rPr>
          <w:rFonts w:ascii="Times New Roman" w:hAnsi="Times New Roman" w:hint="default"/>
          <w:sz w:val="28"/>
          <w:szCs w:val="28"/>
          <w:u w:color="000000"/>
          <w:rtl w:val="0"/>
        </w:rPr>
        <w:t>–</w:t>
      </w:r>
      <w:r>
        <w:rPr>
          <w:rFonts w:ascii="Times New Roman" w:hAnsi="Times New Roman"/>
          <w:sz w:val="28"/>
          <w:szCs w:val="28"/>
          <w:u w:color="000000"/>
          <w:rtl w:val="0"/>
        </w:rPr>
        <w:t>prakt. konf.: materialy. Harkov, 2015:40</w:t>
      </w:r>
      <w:r>
        <w:rPr>
          <w:rFonts w:ascii="Times New Roman" w:hAnsi="Times New Roman" w:hint="default"/>
          <w:sz w:val="28"/>
          <w:szCs w:val="28"/>
          <w:u w:color="000000"/>
          <w:rtl w:val="0"/>
        </w:rPr>
        <w:t>–</w:t>
      </w:r>
      <w:r>
        <w:rPr>
          <w:rFonts w:ascii="Times New Roman" w:hAnsi="Times New Roman"/>
          <w:sz w:val="28"/>
          <w:szCs w:val="28"/>
          <w:u w:color="000000"/>
          <w:rtl w:val="0"/>
        </w:rPr>
        <w:t xml:space="preserve">1.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17.</w:t>
        <w:tab/>
        <w:t>Bondarenko IN, Dmitrenko EA, Kislicyna VS, Zavizion VF, Soloveva NE, Toroshina IA, Skrylnik OA, Podpalaya YuN, Bondarenko YuN, Hodzhuzh Mohammad IM. Ocenka effektivnosti lecheniya bolnyh s metastaticheskim rakom molochnoj zhelezy. Novejshie metody diagnostiki, profiaktiki i lecheniya onkologicheskih zabolevanij: nauch.</w:t>
      </w:r>
      <w:r>
        <w:rPr>
          <w:rFonts w:ascii="Times New Roman" w:hAnsi="Times New Roman" w:hint="default"/>
          <w:sz w:val="28"/>
          <w:szCs w:val="28"/>
          <w:u w:color="000000"/>
          <w:rtl w:val="0"/>
        </w:rPr>
        <w:t>–</w:t>
      </w:r>
      <w:r>
        <w:rPr>
          <w:rFonts w:ascii="Times New Roman" w:hAnsi="Times New Roman"/>
          <w:sz w:val="28"/>
          <w:szCs w:val="28"/>
          <w:u w:color="000000"/>
          <w:rtl w:val="0"/>
        </w:rPr>
        <w:t>prakt. konf. Materialy. Harkov. 2015:22</w:t>
      </w:r>
      <w:r>
        <w:rPr>
          <w:rFonts w:ascii="Times New Roman" w:hAnsi="Times New Roman" w:hint="default"/>
          <w:sz w:val="28"/>
          <w:szCs w:val="28"/>
          <w:u w:color="000000"/>
          <w:rtl w:val="0"/>
        </w:rPr>
        <w:t>–</w:t>
      </w:r>
      <w:r>
        <w:rPr>
          <w:rFonts w:ascii="Times New Roman" w:hAnsi="Times New Roman"/>
          <w:sz w:val="28"/>
          <w:szCs w:val="28"/>
          <w:u w:color="000000"/>
          <w:rtl w:val="0"/>
        </w:rPr>
        <w:t xml:space="preserve">3.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18.</w:t>
        <w:tab/>
        <w:t>Elzhazhzh MH, Bondarenko IM, Zavizion VF, Hodzhuzh MIM, Sklyar AS, Shevchenko MA ta in. Sumarnij rozmir markernih puhlinnih vognish, yak faktor prognozu metastatichnogo raku molochnoyi zalozi. XIII z</w:t>
      </w:r>
      <w:r>
        <w:rPr>
          <w:rFonts w:ascii="Times New Roman" w:hAnsi="Times New Roman" w:hint="default"/>
          <w:sz w:val="28"/>
          <w:szCs w:val="28"/>
          <w:u w:color="000000"/>
          <w:rtl w:val="0"/>
        </w:rPr>
        <w:t>’</w:t>
      </w:r>
      <w:r>
        <w:rPr>
          <w:rFonts w:ascii="Times New Roman" w:hAnsi="Times New Roman"/>
          <w:sz w:val="28"/>
          <w:szCs w:val="28"/>
          <w:u w:color="000000"/>
          <w:rtl w:val="0"/>
        </w:rPr>
        <w:t xml:space="preserve">yizd onkologiv ta radiologiv Ukrayini 26-28 travnya 2016.URZh. 2016;Dod.1:51-52.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rPr>
        <w:t>19.</w:t>
        <w:tab/>
        <w:t xml:space="preserve">Bondarenko IM, Prohach AV, Hodzhuzh Mohammad IM. Antioksidantna korekciya gematologichnoyi toksichnosti sistemnoyi terapiyi raku molochnoyi zalozi. URZh. 2016;Dod.1:49.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20.</w:t>
        <w:tab/>
        <w:t xml:space="preserve">Hojouj MI, Bondarenko IN, Chebanov KO, Zavizion VF. The effect of body mass index on prognostic features of breast cancer treatment. 31st Annual Meeting of ARABMED in Europe in Fujairan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en-US"/>
        </w:rPr>
        <w:t>Advances in Contemporary Medicine</w:t>
      </w:r>
      <w:r>
        <w:rPr>
          <w:rFonts w:ascii="Times New Roman" w:hAnsi="Times New Roman" w:hint="default"/>
          <w:sz w:val="28"/>
          <w:szCs w:val="28"/>
          <w:u w:color="000000"/>
          <w:rtl w:val="0"/>
          <w:lang w:val="it-IT"/>
        </w:rPr>
        <w:t>»</w:t>
      </w:r>
      <w:r>
        <w:rPr>
          <w:rFonts w:ascii="Times New Roman" w:hAnsi="Times New Roman"/>
          <w:sz w:val="28"/>
          <w:szCs w:val="28"/>
          <w:u w:color="000000"/>
          <w:rtl w:val="0"/>
          <w:lang w:val="en-US"/>
        </w:rPr>
        <w:t>. 24-28 October 2015.Abstracts. 2015;2(31):36</w:t>
      </w:r>
      <w:r>
        <w:rPr>
          <w:rFonts w:ascii="Times New Roman" w:hAnsi="Times New Roman" w:hint="default"/>
          <w:sz w:val="28"/>
          <w:szCs w:val="28"/>
          <w:u w:color="000000"/>
          <w:rtl w:val="0"/>
        </w:rPr>
        <w:t>–</w:t>
      </w:r>
      <w:r>
        <w:rPr>
          <w:rFonts w:ascii="Times New Roman" w:hAnsi="Times New Roman"/>
          <w:sz w:val="28"/>
          <w:szCs w:val="28"/>
          <w:u w:color="000000"/>
          <w:rtl w:val="0"/>
        </w:rPr>
        <w:t xml:space="preserve">8.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21.</w:t>
        <w:tab/>
        <w:t xml:space="preserve">Bondarenko IN, Chebanov KO, Hojouj MI, Zavizion VF, Balakin IA. Clinical trials as an innovative way of medical institution development. 31st Annual Meeting of ARABMED in Europe in Fujairan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en-US"/>
        </w:rPr>
        <w:t>Advances in Contemporary Medicine</w:t>
      </w:r>
      <w:r>
        <w:rPr>
          <w:rFonts w:ascii="Times New Roman" w:hAnsi="Times New Roman" w:hint="default"/>
          <w:sz w:val="28"/>
          <w:szCs w:val="28"/>
          <w:u w:color="000000"/>
          <w:rtl w:val="0"/>
          <w:lang w:val="it-IT"/>
        </w:rPr>
        <w:t>»</w:t>
      </w:r>
      <w:r>
        <w:rPr>
          <w:rFonts w:ascii="Times New Roman" w:hAnsi="Times New Roman"/>
          <w:sz w:val="28"/>
          <w:szCs w:val="28"/>
          <w:u w:color="000000"/>
          <w:rtl w:val="0"/>
          <w:lang w:val="en-US"/>
        </w:rPr>
        <w:t>. 24-28 October 2015.Abstracts. 2015;2(31):77</w:t>
      </w:r>
      <w:r>
        <w:rPr>
          <w:rFonts w:ascii="Times New Roman" w:hAnsi="Times New Roman" w:hint="default"/>
          <w:sz w:val="28"/>
          <w:szCs w:val="28"/>
          <w:u w:color="000000"/>
          <w:rtl w:val="0"/>
        </w:rPr>
        <w:t>–</w:t>
      </w:r>
      <w:r>
        <w:rPr>
          <w:rFonts w:ascii="Times New Roman" w:hAnsi="Times New Roman"/>
          <w:sz w:val="28"/>
          <w:szCs w:val="28"/>
          <w:u w:color="000000"/>
          <w:rtl w:val="0"/>
        </w:rPr>
        <w:t xml:space="preserve">9.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22.</w:t>
        <w:tab/>
        <w:t xml:space="preserve">Chebanov K, Bondarenko I, Novikov S, Zavizion V, Hojouj M. Principle of preoperative anastesia in the surgical treatment of breast cancer. 31st Annual Meeting of ARABMED in Europe in Fujairan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en-US"/>
        </w:rPr>
        <w:t>Advances in Contemporary Medicine</w:t>
      </w:r>
      <w:r>
        <w:rPr>
          <w:rFonts w:ascii="Times New Roman" w:hAnsi="Times New Roman" w:hint="default"/>
          <w:sz w:val="28"/>
          <w:szCs w:val="28"/>
          <w:u w:color="000000"/>
          <w:rtl w:val="0"/>
          <w:lang w:val="it-IT"/>
        </w:rPr>
        <w:t>»</w:t>
      </w:r>
      <w:r>
        <w:rPr>
          <w:rFonts w:ascii="Times New Roman" w:hAnsi="Times New Roman"/>
          <w:sz w:val="28"/>
          <w:szCs w:val="28"/>
          <w:u w:color="000000"/>
          <w:rtl w:val="0"/>
          <w:lang w:val="en-US"/>
        </w:rPr>
        <w:t>. 24-28 October 2015.Abstracts. 2015;2(31):113</w:t>
      </w:r>
      <w:r>
        <w:rPr>
          <w:rFonts w:ascii="Times New Roman" w:hAnsi="Times New Roman" w:hint="default"/>
          <w:sz w:val="28"/>
          <w:szCs w:val="28"/>
          <w:u w:color="000000"/>
          <w:rtl w:val="0"/>
        </w:rPr>
        <w:t>–</w:t>
      </w:r>
      <w:r>
        <w:rPr>
          <w:rFonts w:ascii="Times New Roman" w:hAnsi="Times New Roman"/>
          <w:sz w:val="28"/>
          <w:szCs w:val="28"/>
          <w:u w:color="000000"/>
          <w:rtl w:val="0"/>
        </w:rPr>
        <w:t xml:space="preserve">4.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23.</w:t>
        <w:tab/>
        <w:t xml:space="preserve">Hojouj MI, Bondarenko IN, El Hahaj MH, Zavyzyon VF, Sukhaversha OA, Prokhach AV et al. The Modern approaches to prevention of complications in hematological personified breast cancer chemotherapy. 31st Annual Meeting of ARABMED in Europe in Fujairan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en-US"/>
        </w:rPr>
        <w:t>Advances in Contemporary Medicine</w:t>
      </w:r>
      <w:r>
        <w:rPr>
          <w:rFonts w:ascii="Times New Roman" w:hAnsi="Times New Roman" w:hint="default"/>
          <w:sz w:val="28"/>
          <w:szCs w:val="28"/>
          <w:u w:color="000000"/>
          <w:rtl w:val="0"/>
          <w:lang w:val="it-IT"/>
        </w:rPr>
        <w:t>»</w:t>
      </w:r>
      <w:r>
        <w:rPr>
          <w:rFonts w:ascii="Times New Roman" w:hAnsi="Times New Roman"/>
          <w:sz w:val="28"/>
          <w:szCs w:val="28"/>
          <w:u w:color="000000"/>
          <w:rtl w:val="0"/>
          <w:lang w:val="en-US"/>
        </w:rPr>
        <w:t>. 24-28 October 2015.Abstracts. 2015;2(31):107</w:t>
      </w:r>
      <w:r>
        <w:rPr>
          <w:rFonts w:ascii="Times New Roman" w:hAnsi="Times New Roman" w:hint="default"/>
          <w:sz w:val="28"/>
          <w:szCs w:val="28"/>
          <w:u w:color="000000"/>
          <w:rtl w:val="0"/>
        </w:rPr>
        <w:t>–</w:t>
      </w:r>
      <w:r>
        <w:rPr>
          <w:rFonts w:ascii="Times New Roman" w:hAnsi="Times New Roman"/>
          <w:sz w:val="28"/>
          <w:szCs w:val="28"/>
          <w:u w:color="000000"/>
          <w:rtl w:val="0"/>
        </w:rPr>
        <w:t xml:space="preserve">8.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24.</w:t>
        <w:tab/>
        <w:t xml:space="preserve">Rami N, Abu S, Hojouj M. Advantages and disadvantages of laparoscopic interventions in emergency abdominal surgery. 31st Annual Meeting of ARABMED in Europe in Fujairan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en-US"/>
        </w:rPr>
        <w:t>Advances in Contemporary Medicine</w:t>
      </w:r>
      <w:r>
        <w:rPr>
          <w:rFonts w:ascii="Times New Roman" w:hAnsi="Times New Roman" w:hint="default"/>
          <w:sz w:val="28"/>
          <w:szCs w:val="28"/>
          <w:u w:color="000000"/>
          <w:rtl w:val="0"/>
          <w:lang w:val="it-IT"/>
        </w:rPr>
        <w:t>»</w:t>
      </w:r>
      <w:r>
        <w:rPr>
          <w:rFonts w:ascii="Times New Roman" w:hAnsi="Times New Roman"/>
          <w:sz w:val="28"/>
          <w:szCs w:val="28"/>
          <w:u w:color="000000"/>
          <w:rtl w:val="0"/>
          <w:lang w:val="en-US"/>
        </w:rPr>
        <w:t>. 24-28 October 2015.Abstracts. 2015;2(31):44</w:t>
      </w:r>
      <w:r>
        <w:rPr>
          <w:rFonts w:ascii="Times New Roman" w:hAnsi="Times New Roman" w:hint="default"/>
          <w:sz w:val="28"/>
          <w:szCs w:val="28"/>
          <w:u w:color="000000"/>
          <w:rtl w:val="0"/>
        </w:rPr>
        <w:t>–</w:t>
      </w:r>
      <w:r>
        <w:rPr>
          <w:rFonts w:ascii="Times New Roman" w:hAnsi="Times New Roman"/>
          <w:sz w:val="28"/>
          <w:szCs w:val="28"/>
          <w:u w:color="000000"/>
          <w:rtl w:val="0"/>
        </w:rPr>
        <w:t xml:space="preserve">5.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25.</w:t>
        <w:tab/>
        <w:t>Zavizion V, Chebanov K, Bondarenko I, Baranov I, Novikov S, Olefir Y, Grishko S, Vasilishin A, Karas R, Hojouj M. Optimization of anesthetic management of peri</w:t>
      </w:r>
      <w:r>
        <w:rPr>
          <w:rFonts w:ascii="Times New Roman" w:hAnsi="Times New Roman" w:hint="default"/>
          <w:sz w:val="28"/>
          <w:szCs w:val="28"/>
          <w:u w:color="000000"/>
          <w:rtl w:val="0"/>
        </w:rPr>
        <w:t xml:space="preserve">– </w:t>
      </w:r>
      <w:r>
        <w:rPr>
          <w:rFonts w:ascii="Times New Roman" w:hAnsi="Times New Roman"/>
          <w:sz w:val="28"/>
          <w:szCs w:val="28"/>
          <w:u w:color="000000"/>
          <w:rtl w:val="0"/>
          <w:lang w:val="en-US"/>
        </w:rPr>
        <w:t xml:space="preserve">and postoperative period in patients under surgical treatment of colorectal cancer. 31st Annual Meeting of ARABMED in Europe in Fujairan </w:t>
      </w:r>
      <w:r>
        <w:rPr>
          <w:rFonts w:ascii="Times New Roman" w:hAnsi="Times New Roman" w:hint="default"/>
          <w:sz w:val="28"/>
          <w:szCs w:val="28"/>
          <w:u w:color="000000"/>
          <w:rtl w:val="0"/>
          <w:lang w:val="fr-FR"/>
        </w:rPr>
        <w:t>«</w:t>
      </w:r>
      <w:r>
        <w:rPr>
          <w:rFonts w:ascii="Times New Roman" w:hAnsi="Times New Roman"/>
          <w:sz w:val="28"/>
          <w:szCs w:val="28"/>
          <w:u w:color="000000"/>
          <w:rtl w:val="0"/>
          <w:lang w:val="en-US"/>
        </w:rPr>
        <w:t>Advances in Contemporary Medicine</w:t>
      </w:r>
      <w:r>
        <w:rPr>
          <w:rFonts w:ascii="Times New Roman" w:hAnsi="Times New Roman" w:hint="default"/>
          <w:sz w:val="28"/>
          <w:szCs w:val="28"/>
          <w:u w:color="000000"/>
          <w:rtl w:val="0"/>
          <w:lang w:val="it-IT"/>
        </w:rPr>
        <w:t>»</w:t>
      </w:r>
      <w:r>
        <w:rPr>
          <w:rFonts w:ascii="Times New Roman" w:hAnsi="Times New Roman"/>
          <w:sz w:val="28"/>
          <w:szCs w:val="28"/>
          <w:u w:color="000000"/>
          <w:rtl w:val="0"/>
          <w:lang w:val="en-US"/>
        </w:rPr>
        <w:t>. 24-28 October 2015.Abstracts. 2015;2(31):48</w:t>
      </w:r>
      <w:r>
        <w:rPr>
          <w:rFonts w:ascii="Times New Roman" w:hAnsi="Times New Roman" w:hint="default"/>
          <w:sz w:val="28"/>
          <w:szCs w:val="28"/>
          <w:u w:color="000000"/>
          <w:rtl w:val="0"/>
        </w:rPr>
        <w:t>–</w:t>
      </w:r>
      <w:r>
        <w:rPr>
          <w:rFonts w:ascii="Times New Roman" w:hAnsi="Times New Roman"/>
          <w:sz w:val="28"/>
          <w:szCs w:val="28"/>
          <w:u w:color="000000"/>
          <w:rtl w:val="0"/>
        </w:rPr>
        <w:t xml:space="preserve">9.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26.</w:t>
        <w:tab/>
        <w:t>Bondarenko IM, Kunyk AV, Hojouj MI. Pegylated colony</w:t>
      </w:r>
      <w:r>
        <w:rPr>
          <w:rFonts w:ascii="Times New Roman" w:hAnsi="Times New Roman" w:hint="default"/>
          <w:sz w:val="28"/>
          <w:szCs w:val="28"/>
          <w:u w:color="000000"/>
          <w:rtl w:val="0"/>
        </w:rPr>
        <w:t>–</w:t>
      </w:r>
      <w:r>
        <w:rPr>
          <w:rFonts w:ascii="Times New Roman" w:hAnsi="Times New Roman"/>
          <w:sz w:val="28"/>
          <w:szCs w:val="28"/>
          <w:u w:color="000000"/>
          <w:rtl w:val="0"/>
          <w:lang w:val="en-US"/>
        </w:rPr>
        <w:t>stimulating factor in prevention of hematological toxicity during patient</w:t>
      </w:r>
      <w:r>
        <w:rPr>
          <w:rFonts w:ascii="Times New Roman" w:hAnsi="Times New Roman" w:hint="default"/>
          <w:sz w:val="28"/>
          <w:szCs w:val="28"/>
          <w:u w:color="000000"/>
          <w:rtl w:val="0"/>
        </w:rPr>
        <w:t>–</w:t>
      </w:r>
      <w:r>
        <w:rPr>
          <w:rFonts w:ascii="Times New Roman" w:hAnsi="Times New Roman"/>
          <w:sz w:val="28"/>
          <w:szCs w:val="28"/>
          <w:u w:color="000000"/>
          <w:rtl w:val="0"/>
          <w:lang w:val="en-US"/>
        </w:rPr>
        <w:t>specific chemotherapy for breast cancer. The Fifth intertational conference on biology and medical sciences. Vienna, 2015:67</w:t>
      </w:r>
      <w:r>
        <w:rPr>
          <w:rFonts w:ascii="Times New Roman" w:hAnsi="Times New Roman" w:hint="default"/>
          <w:sz w:val="28"/>
          <w:szCs w:val="28"/>
          <w:u w:color="000000"/>
          <w:rtl w:val="0"/>
        </w:rPr>
        <w:t>–</w:t>
      </w:r>
      <w:r>
        <w:rPr>
          <w:rFonts w:ascii="Times New Roman" w:hAnsi="Times New Roman"/>
          <w:sz w:val="28"/>
          <w:szCs w:val="28"/>
          <w:u w:color="000000"/>
          <w:rtl w:val="0"/>
        </w:rPr>
        <w:t xml:space="preserve">70.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27.</w:t>
        <w:tab/>
        <w:t>Bondarenko IM, Kunyk AV, Hojouj MI. Special aspects</w:t>
      </w:r>
      <w:r>
        <w:rPr>
          <w:rFonts w:ascii="Times New Roman" w:hAnsi="Times New Roman" w:hint="default"/>
          <w:sz w:val="28"/>
          <w:szCs w:val="28"/>
          <w:u w:color="000000"/>
          <w:rtl w:val="0"/>
        </w:rPr>
        <w:t>–</w:t>
      </w:r>
      <w:r>
        <w:rPr>
          <w:rFonts w:ascii="Times New Roman" w:hAnsi="Times New Roman"/>
          <w:sz w:val="28"/>
          <w:szCs w:val="28"/>
          <w:u w:color="000000"/>
          <w:rtl w:val="0"/>
          <w:lang w:val="en-US"/>
        </w:rPr>
        <w:t>effects during different types of chemotherapy for breast cancer. The Fifth intertational conference on biology and medical sciences. Vienna, 2015:70</w:t>
      </w:r>
      <w:r>
        <w:rPr>
          <w:rFonts w:ascii="Times New Roman" w:hAnsi="Times New Roman" w:hint="default"/>
          <w:sz w:val="28"/>
          <w:szCs w:val="28"/>
          <w:u w:color="000000"/>
          <w:rtl w:val="0"/>
        </w:rPr>
        <w:t>–</w:t>
      </w:r>
      <w:r>
        <w:rPr>
          <w:rFonts w:ascii="Times New Roman" w:hAnsi="Times New Roman"/>
          <w:sz w:val="28"/>
          <w:szCs w:val="28"/>
          <w:u w:color="000000"/>
          <w:rtl w:val="0"/>
        </w:rPr>
        <w:t xml:space="preserve">5. </w:t>
      </w: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line="360" w:lineRule="auto"/>
        <w:ind w:left="0" w:right="0" w:firstLine="709"/>
        <w:jc w:val="both"/>
        <w:rPr>
          <w:rFonts w:ascii="Times New Roman" w:cs="Times New Roman" w:hAnsi="Times New Roman" w:eastAsia="Times New Roman"/>
          <w:sz w:val="28"/>
          <w:szCs w:val="28"/>
          <w:u w:color="000000"/>
          <w:rtl w:val="0"/>
        </w:rPr>
      </w:pPr>
      <w:r>
        <w:rPr>
          <w:rFonts w:ascii="Times New Roman" w:hAnsi="Times New Roman"/>
          <w:sz w:val="28"/>
          <w:szCs w:val="28"/>
          <w:u w:color="000000"/>
          <w:rtl w:val="0"/>
          <w:lang w:val="en-US"/>
        </w:rPr>
        <w:t>28.</w:t>
        <w:tab/>
        <w:t>Hojouj MI, Bondarenko IN. Body mass index as a prognostic feature in breast cancer. 2nd International Cancer Study and Therapy Conference; 20-22 february 2017. Baltimor, USA. 2017;2(1):75.</w:t>
      </w:r>
    </w:p>
    <w:p>
      <w:pPr>
        <w:pStyle w:val="По умолчанию"/>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after="160" w:line="360" w:lineRule="auto"/>
        <w:ind w:left="0" w:right="0" w:firstLine="709"/>
        <w:jc w:val="both"/>
        <w:rPr>
          <w:rFonts w:ascii="Times New Roman" w:cs="Times New Roman" w:hAnsi="Times New Roman" w:eastAsia="Times New Roman"/>
          <w:sz w:val="28"/>
          <w:szCs w:val="28"/>
          <w:u w:color="000000"/>
          <w:rtl w:val="0"/>
        </w:rPr>
      </w:pPr>
    </w:p>
    <w:p>
      <w:pPr>
        <w:pStyle w:val="По умолчанию"/>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after="160" w:line="360" w:lineRule="auto"/>
        <w:ind w:left="0" w:right="0" w:firstLine="851"/>
        <w:jc w:val="both"/>
        <w:rPr>
          <w:rtl w:val="0"/>
        </w:rPr>
      </w:pPr>
      <w:r>
        <w:rPr>
          <w:rFonts w:ascii="Arial Unicode MS" w:cs="Arial Unicode MS" w:hAnsi="Arial Unicode MS" w:eastAsia="Arial Unicode MS"/>
          <w:b w:val="0"/>
          <w:bCs w:val="0"/>
          <w:i w:val="0"/>
          <w:iCs w:val="0"/>
          <w:sz w:val="28"/>
          <w:szCs w:val="28"/>
          <w:u w:color="000000"/>
          <w:rtl w:val="0"/>
        </w:rPr>
        <w:br w:type="page"/>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русский" w:val="‘“(〔[{〈《「『【⦅〘〖«〝︵︷︹︻︽︿﹁﹃﹇﹙﹛﹝｢"/>
  <w:noLineBreaksBefore w:lang="русский"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По умолчанию">
    <w:name w:val="По умолчанию"/>
    <w:next w:val="По умолчанию"/>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character" w:styleId="Нет">
    <w:name w:val="Нет"/>
  </w:style>
  <w:style w:type="character" w:styleId="Hyperlink.0">
    <w:name w:val="Hyperlink.0"/>
    <w:basedOn w:val="Нет"/>
    <w:next w:val="Hyperlink.0"/>
    <w:rPr>
      <w:rFonts w:ascii="Times New Roman" w:cs="Times New Roman" w:hAnsi="Times New Roman" w:eastAsia="Times New Roman"/>
      <w:color w:val="0000ff"/>
      <w:sz w:val="24"/>
      <w:szCs w:val="24"/>
      <w:u w:val="single" w:color="0000ff"/>
      <w:lang w:val="en-US"/>
    </w:rPr>
  </w:style>
  <w:style w:type="paragraph" w:styleId="Текстовый блок">
    <w:name w:val="Текстовый блок"/>
    <w:next w:val="Текстовый блок"/>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