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6C" w:rsidRDefault="00760879" w:rsidP="00EB6FFB">
      <w:pPr>
        <w:tabs>
          <w:tab w:val="left" w:pos="3274"/>
        </w:tabs>
        <w:spacing w:before="70"/>
        <w:ind w:left="100"/>
        <w:rPr>
          <w:rFonts w:ascii="Arial"/>
          <w:sz w:val="16"/>
        </w:rPr>
      </w:pPr>
      <w:r>
        <w:rPr>
          <w:rFonts w:ascii="Arial"/>
          <w:spacing w:val="-8"/>
          <w:sz w:val="16"/>
        </w:rPr>
        <w:tab/>
      </w:r>
    </w:p>
    <w:p w:rsidR="001A426C" w:rsidRPr="004F5E54" w:rsidRDefault="001A426C">
      <w:pPr>
        <w:pStyle w:val="BodyText"/>
        <w:spacing w:before="3"/>
        <w:rPr>
          <w:rFonts w:asciiTheme="majorBidi" w:hAnsiTheme="majorBidi" w:cstheme="majorBidi"/>
          <w:sz w:val="24"/>
          <w:szCs w:val="24"/>
        </w:rPr>
      </w:pPr>
    </w:p>
    <w:p w:rsidR="001A426C" w:rsidRPr="004F5E54" w:rsidRDefault="00760879" w:rsidP="00427517">
      <w:pPr>
        <w:pStyle w:val="BodyText"/>
        <w:tabs>
          <w:tab w:val="left" w:pos="1271"/>
        </w:tabs>
        <w:spacing w:before="36" w:line="271" w:lineRule="auto"/>
        <w:ind w:left="460" w:right="3668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Pathological response predictors in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neoadjuvant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breast cancer, </w:t>
      </w:r>
      <w:proofErr w:type="gramStart"/>
      <w:r w:rsidRPr="004F5E54">
        <w:rPr>
          <w:rFonts w:asciiTheme="majorBidi" w:hAnsiTheme="majorBidi" w:cstheme="majorBidi"/>
          <w:color w:val="3E454B"/>
          <w:sz w:val="24"/>
          <w:szCs w:val="24"/>
        </w:rPr>
        <w:t>A</w:t>
      </w:r>
      <w:proofErr w:type="gram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report of </w:t>
      </w:r>
      <w:r w:rsidRPr="004F5E54">
        <w:rPr>
          <w:rFonts w:asciiTheme="majorBidi" w:hAnsiTheme="majorBidi" w:cstheme="majorBidi"/>
          <w:color w:val="3E454B"/>
          <w:spacing w:val="-5"/>
          <w:sz w:val="24"/>
          <w:szCs w:val="24"/>
        </w:rPr>
        <w:t xml:space="preserve">Iran </w:t>
      </w:r>
    </w:p>
    <w:p w:rsidR="00925FF3" w:rsidRPr="004F5E54" w:rsidRDefault="00760879" w:rsidP="00925FF3">
      <w:pPr>
        <w:pStyle w:val="BodyText"/>
        <w:spacing w:before="32" w:line="252" w:lineRule="auto"/>
        <w:ind w:left="1271" w:right="730" w:hanging="812"/>
        <w:jc w:val="both"/>
        <w:rPr>
          <w:rFonts w:asciiTheme="majorBidi" w:hAnsiTheme="majorBidi" w:cstheme="majorBidi"/>
          <w:color w:val="3E454B"/>
          <w:sz w:val="24"/>
          <w:szCs w:val="24"/>
        </w:rPr>
      </w:pPr>
      <w:r w:rsidRPr="004F5E54">
        <w:rPr>
          <w:rFonts w:asciiTheme="majorBidi" w:hAnsiTheme="majorBidi" w:cstheme="majorBidi"/>
          <w:color w:val="3E454B"/>
          <w:position w:val="5"/>
          <w:sz w:val="24"/>
          <w:szCs w:val="24"/>
        </w:rPr>
        <w:t xml:space="preserve">Authors: </w:t>
      </w:r>
      <w:r w:rsidRPr="004F5E54">
        <w:rPr>
          <w:rFonts w:asciiTheme="majorBidi" w:hAnsiTheme="majorBidi" w:cstheme="majorBidi"/>
          <w:color w:val="3E454B"/>
          <w:sz w:val="24"/>
          <w:szCs w:val="24"/>
          <w:u w:val="single" w:color="3E454B"/>
        </w:rPr>
        <w:t xml:space="preserve">M.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  <w:u w:val="single" w:color="3E454B"/>
        </w:rPr>
        <w:t>Malekzadeh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  <w:u w:val="single" w:color="3E454B"/>
        </w:rPr>
        <w:t xml:space="preserve">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  <w:u w:val="single" w:color="3E454B"/>
        </w:rPr>
        <w:t>Moghani</w:t>
      </w:r>
      <w:proofErr w:type="spellEnd"/>
      <w:r w:rsidRPr="004F5E54">
        <w:rPr>
          <w:rFonts w:asciiTheme="majorBidi" w:hAnsiTheme="majorBidi" w:cstheme="majorBidi"/>
          <w:color w:val="3E454B"/>
          <w:position w:val="8"/>
          <w:sz w:val="24"/>
          <w:szCs w:val="24"/>
        </w:rPr>
        <w:t>1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, P.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Sasanpour</w:t>
      </w:r>
      <w:proofErr w:type="spellEnd"/>
      <w:r w:rsidR="00925FF3" w:rsidRPr="004F5E54">
        <w:rPr>
          <w:rFonts w:asciiTheme="majorBidi" w:hAnsiTheme="majorBidi" w:cstheme="majorBidi"/>
          <w:color w:val="3E454B"/>
          <w:position w:val="8"/>
          <w:sz w:val="24"/>
          <w:szCs w:val="24"/>
        </w:rPr>
        <w:t>1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>;</w:t>
      </w:r>
      <w:r w:rsidR="00925FF3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S</w:t>
      </w:r>
      <w:r w:rsidR="004F5E54">
        <w:rPr>
          <w:rFonts w:asciiTheme="majorBidi" w:hAnsiTheme="majorBidi" w:cstheme="majorBidi"/>
          <w:color w:val="3E454B"/>
          <w:sz w:val="24"/>
          <w:szCs w:val="24"/>
        </w:rPr>
        <w:t>.</w:t>
      </w:r>
      <w:bookmarkStart w:id="0" w:name="_GoBack"/>
      <w:bookmarkEnd w:id="0"/>
      <w:r w:rsidR="00925FF3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Sndoughdaran</w:t>
      </w:r>
      <w:r w:rsidR="00925FF3" w:rsidRPr="004F5E54">
        <w:rPr>
          <w:rFonts w:asciiTheme="majorBidi" w:hAnsiTheme="majorBidi" w:cstheme="majorBidi"/>
          <w:color w:val="3E454B"/>
          <w:sz w:val="24"/>
          <w:szCs w:val="24"/>
          <w:vertAlign w:val="superscript"/>
        </w:rPr>
        <w:t>1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</w:t>
      </w:r>
    </w:p>
    <w:p w:rsidR="001A426C" w:rsidRPr="004F5E54" w:rsidRDefault="00760879" w:rsidP="00925FF3">
      <w:pPr>
        <w:pStyle w:val="BodyText"/>
        <w:spacing w:before="32" w:line="252" w:lineRule="auto"/>
        <w:ind w:left="1271" w:right="730" w:hanging="812"/>
        <w:jc w:val="both"/>
        <w:rPr>
          <w:rFonts w:asciiTheme="majorBidi" w:hAnsiTheme="majorBidi" w:cstheme="majorBidi"/>
          <w:color w:val="3E454B"/>
          <w:sz w:val="24"/>
          <w:szCs w:val="24"/>
        </w:rPr>
      </w:pPr>
      <w:r w:rsidRPr="004F5E54">
        <w:rPr>
          <w:rFonts w:asciiTheme="majorBidi" w:hAnsiTheme="majorBidi" w:cstheme="majorBidi"/>
          <w:color w:val="3E454B"/>
          <w:position w:val="8"/>
          <w:sz w:val="24"/>
          <w:szCs w:val="24"/>
        </w:rPr>
        <w:t>1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Radiation Oncology,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Shahid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Beheshti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University of Medical Sciences, Tehran, IR, </w:t>
      </w:r>
    </w:p>
    <w:p w:rsidR="00925FF3" w:rsidRPr="004F5E54" w:rsidRDefault="00925FF3" w:rsidP="00925FF3">
      <w:pPr>
        <w:pStyle w:val="BodyText"/>
        <w:spacing w:before="32" w:line="252" w:lineRule="auto"/>
        <w:ind w:left="1271" w:right="730" w:hanging="812"/>
        <w:jc w:val="both"/>
        <w:rPr>
          <w:rFonts w:asciiTheme="majorBidi" w:hAnsiTheme="majorBidi" w:cstheme="majorBidi"/>
          <w:color w:val="3E454B"/>
          <w:sz w:val="24"/>
          <w:szCs w:val="24"/>
        </w:rPr>
      </w:pPr>
    </w:p>
    <w:p w:rsidR="001A426C" w:rsidRPr="004F5E54" w:rsidRDefault="00C125C4" w:rsidP="00427517">
      <w:pPr>
        <w:pStyle w:val="BodyText"/>
        <w:spacing w:before="37" w:line="244" w:lineRule="auto"/>
        <w:ind w:left="460" w:right="518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b/>
          <w:bCs/>
          <w:color w:val="3E454B"/>
          <w:sz w:val="24"/>
          <w:szCs w:val="24"/>
        </w:rPr>
        <w:t>Statement of problem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: breast cancer in Iran like other parts of the world is the first cancer in </w:t>
      </w:r>
      <w:proofErr w:type="gram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women,</w:t>
      </w:r>
      <w:proofErr w:type="gramEnd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one of the classification is locally advance breast cancer 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LABC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which despite improvements in treatment remains mostly incurable. All attempts now are to change what affects this issue. </w:t>
      </w:r>
      <w:proofErr w:type="spell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Neoadjuvant</w:t>
      </w:r>
      <w:proofErr w:type="spellEnd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chemotherapy and pathologic complete response 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proofErr w:type="spell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pCR</w:t>
      </w:r>
      <w:proofErr w:type="spellEnd"/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is a goal in short time, which can predict treatment outcomes. The aim of this article is to assess factors that influence </w:t>
      </w:r>
      <w:proofErr w:type="spell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pCR</w:t>
      </w:r>
      <w:proofErr w:type="spellEnd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.</w:t>
      </w:r>
    </w:p>
    <w:p w:rsidR="001A426C" w:rsidRPr="004F5E54" w:rsidRDefault="00760879" w:rsidP="00427517">
      <w:pPr>
        <w:pStyle w:val="BodyText"/>
        <w:spacing w:before="213" w:line="244" w:lineRule="auto"/>
        <w:ind w:left="460" w:right="645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b/>
          <w:bCs/>
          <w:color w:val="3E454B"/>
          <w:sz w:val="24"/>
          <w:szCs w:val="24"/>
        </w:rPr>
        <w:t>Method</w:t>
      </w:r>
      <w:r w:rsidR="00C125C4" w:rsidRPr="004F5E54">
        <w:rPr>
          <w:rFonts w:asciiTheme="majorBidi" w:hAnsiTheme="majorBidi" w:cstheme="majorBidi"/>
          <w:b/>
          <w:bCs/>
          <w:color w:val="3E454B"/>
          <w:sz w:val="24"/>
          <w:szCs w:val="24"/>
        </w:rPr>
        <w:t>ology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: 214 breast cancer patients who received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neoadjuvant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chemotherapy in </w:t>
      </w:r>
      <w:proofErr w:type="gramStart"/>
      <w:r w:rsidRPr="004F5E54">
        <w:rPr>
          <w:rFonts w:asciiTheme="majorBidi" w:hAnsiTheme="majorBidi" w:cstheme="majorBidi"/>
          <w:color w:val="3E454B"/>
          <w:sz w:val="24"/>
          <w:szCs w:val="24"/>
        </w:rPr>
        <w:t>Tehran ,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Shohada</w:t>
      </w:r>
      <w:proofErr w:type="spellEnd"/>
      <w:proofErr w:type="gram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hospital </w:t>
      </w:r>
      <w:r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>one of breast cancer research center and referral hospital</w:t>
      </w:r>
      <w:r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during 2011 to 2017, were evaluated.</w:t>
      </w:r>
      <w:r w:rsidR="00C51C6F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The treatment regimen was </w:t>
      </w:r>
      <w:proofErr w:type="gramStart"/>
      <w:r w:rsidRPr="004F5E54">
        <w:rPr>
          <w:rFonts w:asciiTheme="majorBidi" w:hAnsiTheme="majorBidi" w:cstheme="majorBidi"/>
          <w:color w:val="3E454B"/>
          <w:sz w:val="24"/>
          <w:szCs w:val="24"/>
        </w:rPr>
        <w:t>consist</w:t>
      </w:r>
      <w:proofErr w:type="gram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of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Antracyclin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,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taxane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</w:t>
      </w:r>
      <w:r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plus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trastusumab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base on consideration of HER2/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neu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receptor</w:t>
      </w:r>
      <w:r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>.</w:t>
      </w:r>
    </w:p>
    <w:p w:rsidR="001A426C" w:rsidRPr="004F5E54" w:rsidRDefault="00760879" w:rsidP="00427517">
      <w:pPr>
        <w:pStyle w:val="BodyText"/>
        <w:spacing w:before="1" w:line="244" w:lineRule="auto"/>
        <w:ind w:left="460" w:right="603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Different variables; tumor characteristics </w:t>
      </w:r>
      <w:r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>appearance and size</w:t>
      </w:r>
      <w:r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>, and patients’ demographic data were evaluated. Statistical analysis was performed.</w:t>
      </w:r>
    </w:p>
    <w:p w:rsidR="001A426C" w:rsidRPr="004F5E54" w:rsidRDefault="00C125C4" w:rsidP="00427517">
      <w:pPr>
        <w:pStyle w:val="BodyText"/>
        <w:spacing w:before="211" w:line="244" w:lineRule="auto"/>
        <w:ind w:left="460" w:right="509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4F5E54">
        <w:rPr>
          <w:rFonts w:asciiTheme="majorBidi" w:hAnsiTheme="majorBidi" w:cstheme="majorBidi"/>
          <w:b/>
          <w:bCs/>
          <w:color w:val="3E454B"/>
          <w:sz w:val="24"/>
          <w:szCs w:val="24"/>
        </w:rPr>
        <w:t>findings</w:t>
      </w:r>
      <w:proofErr w:type="gramEnd"/>
      <w:r w:rsidR="00760879" w:rsidRPr="004F5E54">
        <w:rPr>
          <w:rFonts w:asciiTheme="majorBidi" w:hAnsiTheme="majorBidi" w:cstheme="majorBidi"/>
          <w:b/>
          <w:bCs/>
          <w:color w:val="3E454B"/>
          <w:sz w:val="24"/>
          <w:szCs w:val="24"/>
        </w:rPr>
        <w:t xml:space="preserve"> 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:214 of 2665 patients were LABC, with median age of 47.7, 40.4 % were advance stage and 38 % had pathologic grade 3. Finally 33.3 % achieved </w:t>
      </w:r>
      <w:proofErr w:type="spell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pCR</w:t>
      </w:r>
      <w:proofErr w:type="spellEnd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; </w:t>
      </w:r>
      <w:proofErr w:type="spell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pCR</w:t>
      </w:r>
      <w:proofErr w:type="spellEnd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was </w:t>
      </w:r>
      <w:proofErr w:type="gram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non</w:t>
      </w:r>
      <w:proofErr w:type="gramEnd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significantly higher in positive history of pregnancy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78%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than patients without history of complete pregnancy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65%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p=.024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. There is a higher trend in stage II patients,63% in comparison to 46% in stage III,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p=.048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, 65% in tumor by clinical size of smaller than 5 cm compare to 52% in larger mass 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p=.038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, </w:t>
      </w:r>
      <w:proofErr w:type="spell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pCR</w:t>
      </w:r>
      <w:proofErr w:type="spellEnd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reported to be 75% in sample without </w:t>
      </w:r>
      <w:proofErr w:type="spell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lymphovascular</w:t>
      </w:r>
      <w:proofErr w:type="spellEnd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invasion 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LVI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but only 39% in positive LVI 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p=.02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, 87% in higher Ki67 index compare to 68% in sample with Ki67 percentage less than 10 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p=.067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and the significant difference was found in triple negative tumors,50% in comparison to 35% </w:t>
      </w:r>
      <w:proofErr w:type="spellStart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pCR</w:t>
      </w:r>
      <w:proofErr w:type="spellEnd"/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in other group 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﴾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p=.005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  <w:rtl/>
          <w:lang w:bidi="ar-SA"/>
        </w:rPr>
        <w:t>﴿</w:t>
      </w:r>
      <w:r w:rsidR="00760879" w:rsidRPr="004F5E54">
        <w:rPr>
          <w:rFonts w:asciiTheme="majorBidi" w:hAnsiTheme="majorBidi" w:cstheme="majorBidi"/>
          <w:color w:val="3E454B"/>
          <w:sz w:val="24"/>
          <w:szCs w:val="24"/>
        </w:rPr>
        <w:t>.</w:t>
      </w:r>
    </w:p>
    <w:p w:rsidR="001A426C" w:rsidRPr="004F5E54" w:rsidRDefault="00760879" w:rsidP="00427517">
      <w:pPr>
        <w:pStyle w:val="BodyText"/>
        <w:spacing w:before="212" w:line="244" w:lineRule="auto"/>
        <w:ind w:left="460" w:right="588"/>
        <w:jc w:val="both"/>
        <w:rPr>
          <w:rFonts w:asciiTheme="majorBidi" w:hAnsiTheme="majorBidi" w:cstheme="majorBidi"/>
          <w:color w:val="3E454B"/>
          <w:sz w:val="24"/>
          <w:szCs w:val="24"/>
        </w:rPr>
      </w:pPr>
      <w:r w:rsidRPr="004F5E54">
        <w:rPr>
          <w:rFonts w:asciiTheme="majorBidi" w:hAnsiTheme="majorBidi" w:cstheme="majorBidi"/>
          <w:b/>
          <w:color w:val="3E454B"/>
          <w:sz w:val="24"/>
          <w:szCs w:val="24"/>
        </w:rPr>
        <w:t>Conclusion</w:t>
      </w:r>
      <w:r w:rsidR="00C125C4" w:rsidRPr="004F5E54">
        <w:rPr>
          <w:rFonts w:asciiTheme="majorBidi" w:hAnsiTheme="majorBidi" w:cstheme="majorBidi"/>
          <w:b/>
          <w:color w:val="3E454B"/>
          <w:sz w:val="24"/>
          <w:szCs w:val="24"/>
        </w:rPr>
        <w:t xml:space="preserve"> and significance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: We observe more </w:t>
      </w:r>
      <w:r w:rsidR="00EB6FFB" w:rsidRPr="004F5E54">
        <w:rPr>
          <w:rFonts w:asciiTheme="majorBidi" w:hAnsiTheme="majorBidi" w:cstheme="majorBidi"/>
          <w:color w:val="3E454B"/>
          <w:sz w:val="24"/>
          <w:szCs w:val="24"/>
        </w:rPr>
        <w:t>occurrence</w:t>
      </w:r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of </w:t>
      </w:r>
      <w:proofErr w:type="spellStart"/>
      <w:r w:rsidRPr="004F5E54">
        <w:rPr>
          <w:rFonts w:asciiTheme="majorBidi" w:hAnsiTheme="majorBidi" w:cstheme="majorBidi"/>
          <w:color w:val="3E454B"/>
          <w:sz w:val="24"/>
          <w:szCs w:val="24"/>
        </w:rPr>
        <w:t>pCR</w:t>
      </w:r>
      <w:proofErr w:type="spellEnd"/>
      <w:r w:rsidRPr="004F5E54">
        <w:rPr>
          <w:rFonts w:asciiTheme="majorBidi" w:hAnsiTheme="majorBidi" w:cstheme="majorBidi"/>
          <w:color w:val="3E454B"/>
          <w:sz w:val="24"/>
          <w:szCs w:val="24"/>
        </w:rPr>
        <w:t xml:space="preserve"> in small, triple negative breast cancer without LVI. However the study was retrograde and we hope that in prospective future evaluation could identify other items.</w:t>
      </w:r>
    </w:p>
    <w:p w:rsidR="00383224" w:rsidRPr="004F5E54" w:rsidRDefault="00383224" w:rsidP="00427517">
      <w:pPr>
        <w:pStyle w:val="BodyText"/>
        <w:spacing w:before="212" w:line="244" w:lineRule="auto"/>
        <w:ind w:left="460" w:right="588"/>
        <w:jc w:val="both"/>
        <w:rPr>
          <w:rFonts w:asciiTheme="majorBidi" w:hAnsiTheme="majorBidi" w:cstheme="majorBidi"/>
          <w:color w:val="3E454B"/>
          <w:sz w:val="24"/>
          <w:szCs w:val="24"/>
        </w:rPr>
      </w:pPr>
    </w:p>
    <w:p w:rsidR="00383224" w:rsidRPr="004F5E54" w:rsidRDefault="00383224" w:rsidP="00427517">
      <w:pPr>
        <w:pStyle w:val="BodyText"/>
        <w:spacing w:before="212" w:line="244" w:lineRule="auto"/>
        <w:ind w:left="460" w:right="588"/>
        <w:jc w:val="both"/>
        <w:rPr>
          <w:rFonts w:asciiTheme="majorBidi" w:hAnsiTheme="majorBidi" w:cstheme="majorBidi"/>
          <w:color w:val="3E454B"/>
          <w:sz w:val="24"/>
          <w:szCs w:val="24"/>
        </w:rPr>
      </w:pPr>
    </w:p>
    <w:p w:rsidR="007F3EB8" w:rsidRPr="004F5E54" w:rsidRDefault="007F3EB8" w:rsidP="00427517">
      <w:pPr>
        <w:pStyle w:val="BodyText"/>
        <w:spacing w:before="212" w:line="244" w:lineRule="auto"/>
        <w:ind w:left="460" w:right="588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4F5E54">
        <w:rPr>
          <w:rFonts w:asciiTheme="majorBidi" w:hAnsiTheme="majorBidi" w:cstheme="majorBidi"/>
          <w:sz w:val="24"/>
          <w:szCs w:val="24"/>
        </w:rPr>
        <w:t>1.</w:t>
      </w:r>
      <w:r w:rsidRPr="004F5E54">
        <w:rPr>
          <w:rFonts w:asciiTheme="majorBidi" w:hAnsiTheme="majorBidi" w:cstheme="majorBidi"/>
          <w:sz w:val="24"/>
          <w:szCs w:val="24"/>
        </w:rPr>
        <w:t>Cortazar</w:t>
      </w:r>
      <w:proofErr w:type="gramEnd"/>
      <w:r w:rsidRPr="004F5E54">
        <w:rPr>
          <w:rFonts w:asciiTheme="majorBidi" w:hAnsiTheme="majorBidi" w:cstheme="majorBidi"/>
          <w:sz w:val="24"/>
          <w:szCs w:val="24"/>
        </w:rPr>
        <w:t xml:space="preserve"> P, Zhang L,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Untch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M, Mehta K,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Costantino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JP,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Wolmark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N, et al. Pathological complete response and long-term clinical benefit in breast cancer: the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CTNeoBC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pooled analysis. </w:t>
      </w:r>
      <w:proofErr w:type="gramStart"/>
      <w:r w:rsidRPr="004F5E54">
        <w:rPr>
          <w:rFonts w:asciiTheme="majorBidi" w:hAnsiTheme="majorBidi" w:cstheme="majorBidi"/>
          <w:sz w:val="24"/>
          <w:szCs w:val="24"/>
        </w:rPr>
        <w:t>The Lancet.</w:t>
      </w:r>
      <w:proofErr w:type="gramEnd"/>
      <w:r w:rsidRPr="004F5E54">
        <w:rPr>
          <w:rFonts w:asciiTheme="majorBidi" w:hAnsiTheme="majorBidi" w:cstheme="majorBidi"/>
          <w:sz w:val="24"/>
          <w:szCs w:val="24"/>
        </w:rPr>
        <w:t xml:space="preserve"> 2014</w:t>
      </w:r>
      <w:proofErr w:type="gramStart"/>
      <w:r w:rsidRPr="004F5E54">
        <w:rPr>
          <w:rFonts w:asciiTheme="majorBidi" w:hAnsiTheme="majorBidi" w:cstheme="majorBidi"/>
          <w:sz w:val="24"/>
          <w:szCs w:val="24"/>
        </w:rPr>
        <w:t>;384</w:t>
      </w:r>
      <w:proofErr w:type="gramEnd"/>
      <w:r w:rsidRPr="004F5E54">
        <w:rPr>
          <w:rFonts w:asciiTheme="majorBidi" w:hAnsiTheme="majorBidi" w:cstheme="majorBidi"/>
          <w:sz w:val="24"/>
          <w:szCs w:val="24"/>
        </w:rPr>
        <w:t>(9938):164-72.</w:t>
      </w:r>
    </w:p>
    <w:p w:rsidR="00383224" w:rsidRPr="004F5E54" w:rsidRDefault="00383224" w:rsidP="00427517">
      <w:pPr>
        <w:pStyle w:val="BodyText"/>
        <w:spacing w:before="212" w:line="244" w:lineRule="auto"/>
        <w:ind w:left="460" w:right="588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2. </w:t>
      </w:r>
      <w:r w:rsidRPr="004F5E54">
        <w:rPr>
          <w:rFonts w:asciiTheme="majorBidi" w:hAnsiTheme="majorBidi" w:cstheme="majorBidi"/>
          <w:sz w:val="24"/>
          <w:szCs w:val="24"/>
        </w:rPr>
        <w:t xml:space="preserve">von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Minckwitz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G,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Untch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M,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Blohmer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J-U, Costa SD,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Eidtmann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H,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Fasching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PA, et al. Definition and impact of pathologic complete response on prognosis after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neoadjuvant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</w:t>
      </w:r>
      <w:r w:rsidRPr="004F5E54">
        <w:rPr>
          <w:rFonts w:asciiTheme="majorBidi" w:hAnsiTheme="majorBidi" w:cstheme="majorBidi"/>
          <w:sz w:val="24"/>
          <w:szCs w:val="24"/>
        </w:rPr>
        <w:lastRenderedPageBreak/>
        <w:t xml:space="preserve">chemotherapy in various intrinsic breast cancer subtypes. </w:t>
      </w:r>
      <w:proofErr w:type="gramStart"/>
      <w:r w:rsidRPr="004F5E54">
        <w:rPr>
          <w:rFonts w:asciiTheme="majorBidi" w:hAnsiTheme="majorBidi" w:cstheme="majorBidi"/>
          <w:sz w:val="24"/>
          <w:szCs w:val="24"/>
        </w:rPr>
        <w:t>Journal of Clinical Oncology.</w:t>
      </w:r>
      <w:proofErr w:type="gramEnd"/>
      <w:r w:rsidRPr="004F5E54">
        <w:rPr>
          <w:rFonts w:asciiTheme="majorBidi" w:hAnsiTheme="majorBidi" w:cstheme="majorBidi"/>
          <w:sz w:val="24"/>
          <w:szCs w:val="24"/>
        </w:rPr>
        <w:t xml:space="preserve"> 2012</w:t>
      </w:r>
      <w:proofErr w:type="gramStart"/>
      <w:r w:rsidRPr="004F5E54">
        <w:rPr>
          <w:rFonts w:asciiTheme="majorBidi" w:hAnsiTheme="majorBidi" w:cstheme="majorBidi"/>
          <w:sz w:val="24"/>
          <w:szCs w:val="24"/>
        </w:rPr>
        <w:t>;30</w:t>
      </w:r>
      <w:proofErr w:type="gramEnd"/>
      <w:r w:rsidRPr="004F5E54">
        <w:rPr>
          <w:rFonts w:asciiTheme="majorBidi" w:hAnsiTheme="majorBidi" w:cstheme="majorBidi"/>
          <w:sz w:val="24"/>
          <w:szCs w:val="24"/>
        </w:rPr>
        <w:t>(15):1796-804.</w:t>
      </w:r>
    </w:p>
    <w:p w:rsidR="00383224" w:rsidRPr="004F5E54" w:rsidRDefault="00383224" w:rsidP="00427517">
      <w:pPr>
        <w:pStyle w:val="BodyText"/>
        <w:spacing w:before="212" w:line="244" w:lineRule="auto"/>
        <w:ind w:left="460" w:right="588"/>
        <w:jc w:val="both"/>
        <w:rPr>
          <w:rFonts w:asciiTheme="majorBidi" w:hAnsiTheme="majorBidi" w:cstheme="majorBidi"/>
          <w:sz w:val="24"/>
          <w:szCs w:val="24"/>
        </w:rPr>
      </w:pPr>
    </w:p>
    <w:p w:rsidR="00383224" w:rsidRPr="004F5E54" w:rsidRDefault="00383224" w:rsidP="004F5E54">
      <w:pPr>
        <w:pStyle w:val="EndNoteBibliography"/>
        <w:spacing w:after="0"/>
        <w:ind w:left="460" w:firstLine="20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3. </w:t>
      </w:r>
      <w:r w:rsidRPr="004F5E54">
        <w:rPr>
          <w:rFonts w:asciiTheme="majorBidi" w:hAnsiTheme="majorBidi" w:cstheme="majorBidi"/>
          <w:sz w:val="24"/>
          <w:szCs w:val="24"/>
        </w:rPr>
        <w:t>Liu YL, Saraf A, Lee SM, Zhong X, Hibshoosh H, Kalinsky K, et al</w:t>
      </w:r>
      <w:r w:rsidR="004F5E54">
        <w:rPr>
          <w:rFonts w:asciiTheme="majorBidi" w:hAnsiTheme="majorBidi" w:cstheme="majorBidi"/>
          <w:sz w:val="24"/>
          <w:szCs w:val="24"/>
        </w:rPr>
        <w:t>. Lymphovascular invasion     is a</w:t>
      </w:r>
      <w:r w:rsidR="00C125C4" w:rsidRPr="004F5E54">
        <w:rPr>
          <w:rFonts w:asciiTheme="majorBidi" w:hAnsiTheme="majorBidi" w:cstheme="majorBidi"/>
          <w:sz w:val="24"/>
          <w:szCs w:val="24"/>
        </w:rPr>
        <w:t xml:space="preserve">   </w:t>
      </w:r>
      <w:r w:rsidRPr="004F5E54">
        <w:rPr>
          <w:rFonts w:asciiTheme="majorBidi" w:hAnsiTheme="majorBidi" w:cstheme="majorBidi"/>
          <w:sz w:val="24"/>
          <w:szCs w:val="24"/>
        </w:rPr>
        <w:t xml:space="preserve">independent predictor of survival in breast cancer after neoadjuvant chemotherapy. Breast cancer research and treatment. </w:t>
      </w:r>
      <w:r w:rsidRPr="004F5E54">
        <w:rPr>
          <w:rFonts w:asciiTheme="majorBidi" w:hAnsiTheme="majorBidi" w:cstheme="majorBidi"/>
          <w:sz w:val="24"/>
          <w:szCs w:val="24"/>
        </w:rPr>
        <w:t xml:space="preserve">    </w:t>
      </w:r>
    </w:p>
    <w:p w:rsidR="00383224" w:rsidRPr="004F5E54" w:rsidRDefault="00383224" w:rsidP="00427517">
      <w:pPr>
        <w:pStyle w:val="EndNoteBibliography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        </w:t>
      </w:r>
      <w:r w:rsidRPr="004F5E54">
        <w:rPr>
          <w:rFonts w:asciiTheme="majorBidi" w:hAnsiTheme="majorBidi" w:cstheme="majorBidi"/>
          <w:sz w:val="24"/>
          <w:szCs w:val="24"/>
        </w:rPr>
        <w:t>2016;157(3):555-64.</w:t>
      </w:r>
    </w:p>
    <w:p w:rsidR="00383224" w:rsidRPr="004F5E54" w:rsidRDefault="00383224" w:rsidP="00427517">
      <w:pPr>
        <w:pStyle w:val="EndNoteBibliography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        </w:t>
      </w:r>
    </w:p>
    <w:p w:rsidR="00383224" w:rsidRPr="004F5E54" w:rsidRDefault="00383224" w:rsidP="004F5E54">
      <w:pPr>
        <w:pStyle w:val="EndNoteBibliography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       4. </w:t>
      </w:r>
      <w:r w:rsidRPr="004F5E54">
        <w:rPr>
          <w:rFonts w:asciiTheme="majorBidi" w:hAnsiTheme="majorBidi" w:cstheme="majorBidi"/>
          <w:sz w:val="24"/>
          <w:szCs w:val="24"/>
        </w:rPr>
        <w:t xml:space="preserve">Babyshkina N, Malinovskaya E, Patalyak S, Bragina O, Tarabanovskaya N, Doroshenko A, et al. </w:t>
      </w:r>
      <w:r w:rsidR="004F5E54">
        <w:rPr>
          <w:rFonts w:asciiTheme="majorBidi" w:hAnsiTheme="majorBidi" w:cstheme="majorBidi"/>
          <w:sz w:val="24"/>
          <w:szCs w:val="24"/>
        </w:rPr>
        <w:t xml:space="preserve">                  </w:t>
      </w:r>
      <w:r w:rsidRPr="004F5E54">
        <w:rPr>
          <w:rFonts w:asciiTheme="majorBidi" w:hAnsiTheme="majorBidi" w:cstheme="majorBidi"/>
          <w:sz w:val="24"/>
          <w:szCs w:val="24"/>
        </w:rPr>
        <w:t xml:space="preserve">Neoadjuvant chemotherapy for different molecular breast cancer subtypes: a retrospective study in Russian population. </w:t>
      </w:r>
    </w:p>
    <w:p w:rsidR="00383224" w:rsidRPr="004F5E54" w:rsidRDefault="00383224" w:rsidP="00427517">
      <w:pPr>
        <w:pStyle w:val="EndNoteBibliography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       </w:t>
      </w:r>
      <w:r w:rsidRPr="004F5E54">
        <w:rPr>
          <w:rFonts w:asciiTheme="majorBidi" w:hAnsiTheme="majorBidi" w:cstheme="majorBidi"/>
          <w:sz w:val="24"/>
          <w:szCs w:val="24"/>
        </w:rPr>
        <w:t xml:space="preserve">Medical </w:t>
      </w:r>
      <w:r w:rsidRPr="004F5E54">
        <w:rPr>
          <w:rFonts w:asciiTheme="majorBidi" w:hAnsiTheme="majorBidi" w:cstheme="majorBidi"/>
          <w:sz w:val="24"/>
          <w:szCs w:val="24"/>
        </w:rPr>
        <w:t xml:space="preserve"> </w:t>
      </w:r>
      <w:r w:rsidRPr="004F5E54">
        <w:rPr>
          <w:rFonts w:asciiTheme="majorBidi" w:hAnsiTheme="majorBidi" w:cstheme="majorBidi"/>
          <w:sz w:val="24"/>
          <w:szCs w:val="24"/>
        </w:rPr>
        <w:t>Oncology. 2014;31(9):165-</w:t>
      </w:r>
      <w:r w:rsidR="00C125C4" w:rsidRPr="004F5E54">
        <w:rPr>
          <w:rFonts w:asciiTheme="majorBidi" w:hAnsiTheme="majorBidi" w:cstheme="majorBidi"/>
          <w:sz w:val="24"/>
          <w:szCs w:val="24"/>
        </w:rPr>
        <w:t>7</w:t>
      </w:r>
      <w:r w:rsidRPr="004F5E54">
        <w:rPr>
          <w:rFonts w:asciiTheme="majorBidi" w:hAnsiTheme="majorBidi" w:cstheme="majorBidi"/>
          <w:sz w:val="24"/>
          <w:szCs w:val="24"/>
        </w:rPr>
        <w:t>.</w:t>
      </w:r>
    </w:p>
    <w:p w:rsidR="00383224" w:rsidRPr="004F5E54" w:rsidRDefault="00383224" w:rsidP="00427517">
      <w:pPr>
        <w:pStyle w:val="EndNoteBibliography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     </w:t>
      </w:r>
    </w:p>
    <w:p w:rsidR="00383224" w:rsidRPr="004F5E54" w:rsidRDefault="00383224" w:rsidP="004F5E54">
      <w:pPr>
        <w:pStyle w:val="EndNoteBibliography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       5. </w:t>
      </w:r>
      <w:r w:rsidRPr="004F5E54">
        <w:rPr>
          <w:rFonts w:asciiTheme="majorBidi" w:hAnsiTheme="majorBidi" w:cstheme="majorBidi"/>
          <w:sz w:val="24"/>
          <w:szCs w:val="24"/>
        </w:rPr>
        <w:t>Keskin S, Muslumanoglu M, Saip P, Karanlık H, Guveli M, Pehlivan E, et al. Cli</w:t>
      </w:r>
      <w:r w:rsidR="00427517" w:rsidRPr="004F5E54">
        <w:rPr>
          <w:rFonts w:asciiTheme="majorBidi" w:hAnsiTheme="majorBidi" w:cstheme="majorBidi"/>
          <w:sz w:val="24"/>
          <w:szCs w:val="24"/>
        </w:rPr>
        <w:t>nical and pathological feature</w:t>
      </w:r>
      <w:r w:rsidRPr="004F5E54">
        <w:rPr>
          <w:rFonts w:asciiTheme="majorBidi" w:hAnsiTheme="majorBidi" w:cstheme="majorBidi"/>
          <w:sz w:val="24"/>
          <w:szCs w:val="24"/>
        </w:rPr>
        <w:t xml:space="preserve"> </w:t>
      </w:r>
      <w:r w:rsidRPr="004F5E54">
        <w:rPr>
          <w:rFonts w:asciiTheme="majorBidi" w:hAnsiTheme="majorBidi" w:cstheme="majorBidi"/>
          <w:sz w:val="24"/>
          <w:szCs w:val="24"/>
        </w:rPr>
        <w:t>of breast cancer associated with the pathological complete response to</w:t>
      </w:r>
      <w:r w:rsidR="004F5E54">
        <w:rPr>
          <w:rFonts w:asciiTheme="majorBidi" w:hAnsiTheme="majorBidi" w:cstheme="majorBidi"/>
          <w:sz w:val="24"/>
          <w:szCs w:val="24"/>
        </w:rPr>
        <w:t xml:space="preserve"> anthracycline-based neoadjuvan</w:t>
      </w:r>
      <w:r w:rsidRPr="004F5E54">
        <w:rPr>
          <w:rFonts w:asciiTheme="majorBidi" w:hAnsiTheme="majorBidi" w:cstheme="majorBidi"/>
          <w:sz w:val="24"/>
          <w:szCs w:val="24"/>
        </w:rPr>
        <w:t xml:space="preserve"> </w:t>
      </w:r>
      <w:r w:rsidRPr="004F5E54">
        <w:rPr>
          <w:rFonts w:asciiTheme="majorBidi" w:hAnsiTheme="majorBidi" w:cstheme="majorBidi"/>
          <w:sz w:val="24"/>
          <w:szCs w:val="24"/>
        </w:rPr>
        <w:t xml:space="preserve"> chemotherapy. Oncology. 2011;81(1):30-8.</w:t>
      </w:r>
    </w:p>
    <w:p w:rsidR="00383224" w:rsidRPr="004F5E54" w:rsidRDefault="00383224" w:rsidP="00427517">
      <w:pPr>
        <w:pStyle w:val="EndNoteBibliography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83224" w:rsidRPr="004F5E54" w:rsidRDefault="00383224" w:rsidP="00427517">
      <w:pPr>
        <w:pStyle w:val="BodyText"/>
        <w:spacing w:before="212" w:line="244" w:lineRule="auto"/>
        <w:ind w:left="460" w:right="588"/>
        <w:jc w:val="both"/>
        <w:rPr>
          <w:rFonts w:asciiTheme="majorBidi" w:hAnsiTheme="majorBidi" w:cstheme="majorBidi"/>
          <w:sz w:val="24"/>
          <w:szCs w:val="24"/>
        </w:rPr>
      </w:pPr>
    </w:p>
    <w:p w:rsidR="001A426C" w:rsidRPr="004F5E54" w:rsidRDefault="001A426C" w:rsidP="00427517">
      <w:pPr>
        <w:pStyle w:val="BodyText"/>
        <w:spacing w:before="1"/>
        <w:jc w:val="both"/>
        <w:rPr>
          <w:rFonts w:asciiTheme="majorBidi" w:hAnsiTheme="majorBidi" w:cstheme="majorBidi"/>
          <w:sz w:val="24"/>
          <w:szCs w:val="24"/>
        </w:rPr>
      </w:pPr>
    </w:p>
    <w:p w:rsidR="00C125C4" w:rsidRPr="004F5E54" w:rsidRDefault="00C125C4" w:rsidP="00427517">
      <w:pPr>
        <w:pStyle w:val="BodyText"/>
        <w:spacing w:before="9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427517" w:rsidRPr="004F5E54" w:rsidRDefault="00427517" w:rsidP="00925FF3">
      <w:pPr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b/>
          <w:sz w:val="24"/>
          <w:szCs w:val="24"/>
        </w:rPr>
        <w:t xml:space="preserve">Biography: </w:t>
      </w:r>
      <w:r w:rsidRPr="004F5E54">
        <w:rPr>
          <w:rFonts w:asciiTheme="majorBidi" w:hAnsiTheme="majorBidi" w:cstheme="majorBidi"/>
          <w:bCs/>
          <w:sz w:val="24"/>
          <w:szCs w:val="24"/>
        </w:rPr>
        <w:t xml:space="preserve">Our team works in </w:t>
      </w:r>
      <w:proofErr w:type="spellStart"/>
      <w:r w:rsidRPr="004F5E54">
        <w:rPr>
          <w:rFonts w:asciiTheme="majorBidi" w:hAnsiTheme="majorBidi" w:cstheme="majorBidi"/>
          <w:bCs/>
          <w:sz w:val="24"/>
          <w:szCs w:val="24"/>
        </w:rPr>
        <w:t>Shohada</w:t>
      </w:r>
      <w:proofErr w:type="spellEnd"/>
      <w:r w:rsidRPr="004F5E54">
        <w:rPr>
          <w:rFonts w:asciiTheme="majorBidi" w:hAnsiTheme="majorBidi" w:cstheme="majorBidi"/>
          <w:bCs/>
          <w:sz w:val="24"/>
          <w:szCs w:val="24"/>
        </w:rPr>
        <w:t xml:space="preserve"> </w:t>
      </w:r>
      <w:proofErr w:type="gramStart"/>
      <w:r w:rsidRPr="004F5E54">
        <w:rPr>
          <w:rFonts w:asciiTheme="majorBidi" w:hAnsiTheme="majorBidi" w:cstheme="majorBidi"/>
          <w:bCs/>
          <w:sz w:val="24"/>
          <w:szCs w:val="24"/>
        </w:rPr>
        <w:t>hospital ,</w:t>
      </w:r>
      <w:proofErr w:type="gramEnd"/>
      <w:r w:rsidRPr="004F5E54">
        <w:rPr>
          <w:rFonts w:asciiTheme="majorBidi" w:hAnsiTheme="majorBidi" w:cstheme="majorBidi"/>
          <w:bCs/>
          <w:sz w:val="24"/>
          <w:szCs w:val="24"/>
        </w:rPr>
        <w:t xml:space="preserve"> one of the main referral centers of Tehran, the most common cancer of our population is breast cancer so we have enough data even in </w:t>
      </w:r>
      <w:proofErr w:type="spellStart"/>
      <w:r w:rsidRPr="004F5E54">
        <w:rPr>
          <w:rFonts w:asciiTheme="majorBidi" w:hAnsiTheme="majorBidi" w:cstheme="majorBidi"/>
          <w:bCs/>
          <w:sz w:val="24"/>
          <w:szCs w:val="24"/>
        </w:rPr>
        <w:t>neoadjuvant</w:t>
      </w:r>
      <w:proofErr w:type="spellEnd"/>
      <w:r w:rsidRPr="004F5E54">
        <w:rPr>
          <w:rFonts w:asciiTheme="majorBidi" w:hAnsiTheme="majorBidi" w:cstheme="majorBidi"/>
          <w:bCs/>
          <w:sz w:val="24"/>
          <w:szCs w:val="24"/>
        </w:rPr>
        <w:t xml:space="preserve"> chemotherapy. Dr. </w:t>
      </w:r>
      <w:proofErr w:type="spellStart"/>
      <w:r w:rsidRPr="004F5E54">
        <w:rPr>
          <w:rFonts w:asciiTheme="majorBidi" w:hAnsiTheme="majorBidi" w:cstheme="majorBidi"/>
          <w:bCs/>
          <w:sz w:val="24"/>
          <w:szCs w:val="24"/>
        </w:rPr>
        <w:t>Malekzadeh</w:t>
      </w:r>
      <w:proofErr w:type="spellEnd"/>
      <w:r w:rsidRPr="004F5E5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4F5E54">
        <w:rPr>
          <w:rFonts w:asciiTheme="majorBidi" w:hAnsiTheme="majorBidi" w:cstheme="majorBidi"/>
          <w:sz w:val="24"/>
          <w:szCs w:val="24"/>
        </w:rPr>
        <w:t xml:space="preserve">Assistant Prof.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Shahid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Beheshti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University of Medical </w:t>
      </w:r>
      <w:proofErr w:type="gramStart"/>
      <w:r w:rsidRPr="004F5E54">
        <w:rPr>
          <w:rFonts w:asciiTheme="majorBidi" w:hAnsiTheme="majorBidi" w:cstheme="majorBidi"/>
          <w:sz w:val="24"/>
          <w:szCs w:val="24"/>
        </w:rPr>
        <w:t>Sciences(</w:t>
      </w:r>
      <w:proofErr w:type="gramEnd"/>
      <w:r w:rsidRPr="004F5E54">
        <w:rPr>
          <w:rFonts w:asciiTheme="majorBidi" w:hAnsiTheme="majorBidi" w:cstheme="majorBidi"/>
          <w:sz w:val="24"/>
          <w:szCs w:val="24"/>
        </w:rPr>
        <w:t xml:space="preserve">SBMU) </w:t>
      </w:r>
      <w:r w:rsidRPr="004F5E54">
        <w:rPr>
          <w:rFonts w:asciiTheme="majorBidi" w:hAnsiTheme="majorBidi" w:cstheme="majorBidi"/>
          <w:sz w:val="24"/>
          <w:szCs w:val="24"/>
        </w:rPr>
        <w:t xml:space="preserve">and Dr.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sasanpour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Dr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Sando</w:t>
      </w:r>
      <w:r w:rsidR="00925FF3" w:rsidRPr="004F5E54">
        <w:rPr>
          <w:rFonts w:asciiTheme="majorBidi" w:hAnsiTheme="majorBidi" w:cstheme="majorBidi"/>
          <w:sz w:val="24"/>
          <w:szCs w:val="24"/>
        </w:rPr>
        <w:t>ughdaran</w:t>
      </w:r>
      <w:proofErr w:type="spellEnd"/>
      <w:r w:rsidR="00925FF3" w:rsidRPr="004F5E54">
        <w:rPr>
          <w:rFonts w:asciiTheme="majorBidi" w:hAnsiTheme="majorBidi" w:cstheme="majorBidi"/>
          <w:sz w:val="24"/>
          <w:szCs w:val="24"/>
        </w:rPr>
        <w:t xml:space="preserve"> </w:t>
      </w:r>
      <w:r w:rsidRPr="004F5E54">
        <w:rPr>
          <w:rFonts w:asciiTheme="majorBidi" w:hAnsiTheme="majorBidi" w:cstheme="majorBidi"/>
          <w:sz w:val="24"/>
          <w:szCs w:val="24"/>
        </w:rPr>
        <w:t xml:space="preserve"> at the time of this research w</w:t>
      </w:r>
      <w:r w:rsidR="00925FF3" w:rsidRPr="004F5E54">
        <w:rPr>
          <w:rFonts w:asciiTheme="majorBidi" w:hAnsiTheme="majorBidi" w:cstheme="majorBidi"/>
          <w:sz w:val="24"/>
          <w:szCs w:val="24"/>
        </w:rPr>
        <w:t>ere</w:t>
      </w:r>
      <w:r w:rsidRPr="004F5E54">
        <w:rPr>
          <w:rFonts w:asciiTheme="majorBidi" w:hAnsiTheme="majorBidi" w:cstheme="majorBidi"/>
          <w:sz w:val="24"/>
          <w:szCs w:val="24"/>
        </w:rPr>
        <w:t xml:space="preserve"> passing r</w:t>
      </w:r>
      <w:r w:rsidR="00925FF3" w:rsidRPr="004F5E54">
        <w:rPr>
          <w:rFonts w:asciiTheme="majorBidi" w:hAnsiTheme="majorBidi" w:cstheme="majorBidi"/>
          <w:sz w:val="24"/>
          <w:szCs w:val="24"/>
        </w:rPr>
        <w:t>adiation oncology residency.</w:t>
      </w:r>
    </w:p>
    <w:p w:rsidR="00C125C4" w:rsidRPr="004F5E54" w:rsidRDefault="00C125C4" w:rsidP="00427517">
      <w:pPr>
        <w:pStyle w:val="BodyText"/>
        <w:spacing w:before="9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C125C4" w:rsidRPr="004F5E54" w:rsidRDefault="00C125C4" w:rsidP="00427517">
      <w:pPr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b/>
          <w:sz w:val="24"/>
          <w:szCs w:val="24"/>
        </w:rPr>
        <w:tab/>
      </w:r>
    </w:p>
    <w:p w:rsidR="00C125C4" w:rsidRPr="004F5E54" w:rsidRDefault="00925FF3" w:rsidP="00427517">
      <w:pPr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Some other responsibilities of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Dr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F5E54">
        <w:rPr>
          <w:rFonts w:asciiTheme="majorBidi" w:hAnsiTheme="majorBidi" w:cstheme="majorBidi"/>
          <w:sz w:val="24"/>
          <w:szCs w:val="24"/>
        </w:rPr>
        <w:t>Malekzadeh</w:t>
      </w:r>
      <w:proofErr w:type="spellEnd"/>
      <w:r w:rsidRPr="004F5E54">
        <w:rPr>
          <w:rFonts w:asciiTheme="majorBidi" w:hAnsiTheme="majorBidi" w:cstheme="majorBidi"/>
          <w:sz w:val="24"/>
          <w:szCs w:val="24"/>
        </w:rPr>
        <w:t xml:space="preserve"> are: </w:t>
      </w:r>
    </w:p>
    <w:p w:rsidR="00C125C4" w:rsidRPr="004F5E54" w:rsidRDefault="00C125C4" w:rsidP="00427517">
      <w:pPr>
        <w:tabs>
          <w:tab w:val="left" w:pos="6248"/>
        </w:tabs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>Head of Educational methods committee of EDO, SBMU</w:t>
      </w:r>
      <w:r w:rsidR="00427517" w:rsidRPr="004F5E54">
        <w:rPr>
          <w:rFonts w:asciiTheme="majorBidi" w:hAnsiTheme="majorBidi" w:cstheme="majorBidi"/>
          <w:sz w:val="24"/>
          <w:szCs w:val="24"/>
        </w:rPr>
        <w:tab/>
      </w:r>
    </w:p>
    <w:p w:rsidR="00C125C4" w:rsidRPr="004F5E54" w:rsidRDefault="00C125C4" w:rsidP="00427517">
      <w:pPr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>Collaborator in Cancer Research Center at SBMU in research and fellowship training</w:t>
      </w:r>
    </w:p>
    <w:p w:rsidR="00C125C4" w:rsidRPr="004F5E54" w:rsidRDefault="00C125C4" w:rsidP="00925FF3">
      <w:pPr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4F5E54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Head of International committee of Iranian society of Radiation oncologist </w:t>
      </w:r>
    </w:p>
    <w:p w:rsidR="00C125C4" w:rsidRPr="004F5E54" w:rsidRDefault="00C125C4" w:rsidP="00427517">
      <w:pPr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Co-partner in Advisory board of Breast cancer and cervical cancer </w:t>
      </w:r>
    </w:p>
    <w:p w:rsidR="00925FF3" w:rsidRPr="004F5E54" w:rsidRDefault="00925FF3" w:rsidP="00925FF3">
      <w:pPr>
        <w:jc w:val="both"/>
        <w:rPr>
          <w:rFonts w:asciiTheme="majorBidi" w:hAnsiTheme="majorBidi" w:cstheme="majorBidi"/>
          <w:sz w:val="24"/>
          <w:szCs w:val="24"/>
        </w:rPr>
      </w:pPr>
      <w:r w:rsidRPr="004F5E54">
        <w:rPr>
          <w:rFonts w:asciiTheme="majorBidi" w:hAnsiTheme="majorBidi" w:cstheme="majorBidi"/>
          <w:sz w:val="24"/>
          <w:szCs w:val="24"/>
        </w:rPr>
        <w:t xml:space="preserve">Member of national oncologic guidelines committee in Health ministry  </w:t>
      </w:r>
    </w:p>
    <w:p w:rsidR="00C125C4" w:rsidRPr="00C125C4" w:rsidRDefault="00C125C4" w:rsidP="00427517">
      <w:pPr>
        <w:jc w:val="both"/>
        <w:rPr>
          <w:rFonts w:ascii="Adobe Arabic" w:hAnsi="Adobe Arabic" w:cs="Adobe Arabic"/>
          <w:sz w:val="24"/>
          <w:szCs w:val="24"/>
        </w:rPr>
      </w:pPr>
    </w:p>
    <w:p w:rsidR="00C125C4" w:rsidRDefault="00C125C4" w:rsidP="00427517">
      <w:pPr>
        <w:jc w:val="both"/>
        <w:rPr>
          <w:rFonts w:ascii="Adobe Arabic" w:hAnsi="Adobe Arabic" w:cs="Adobe Arabic"/>
          <w:sz w:val="32"/>
          <w:szCs w:val="32"/>
          <w:shd w:val="clear" w:color="auto" w:fill="FFFFFF"/>
        </w:rPr>
      </w:pPr>
    </w:p>
    <w:p w:rsidR="007F3EB8" w:rsidRDefault="00760879" w:rsidP="00427517">
      <w:pPr>
        <w:pStyle w:val="BodyText"/>
        <w:spacing w:before="9"/>
        <w:jc w:val="both"/>
        <w:rPr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6DB3E89" wp14:editId="03FB03C9">
                <wp:simplePos x="0" y="0"/>
                <wp:positionH relativeFrom="page">
                  <wp:posOffset>6772910</wp:posOffset>
                </wp:positionH>
                <wp:positionV relativeFrom="paragraph">
                  <wp:posOffset>238125</wp:posOffset>
                </wp:positionV>
                <wp:extent cx="496570" cy="238760"/>
                <wp:effectExtent l="10160" t="9525" r="7620" b="889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70" cy="238760"/>
                        </a:xfrm>
                        <a:prstGeom prst="rect">
                          <a:avLst/>
                        </a:prstGeom>
                        <a:noFill/>
                        <a:ln w="9538">
                          <a:solidFill>
                            <a:srgbClr val="CCCCC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426C" w:rsidRDefault="001A426C">
                            <w:pPr>
                              <w:spacing w:before="33"/>
                              <w:ind w:left="152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3.3pt;margin-top:18.75pt;width:39.1pt;height:18.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" filled="f" strokecolor="#ccc" strokeweight=".26494mm">
                <v:textbox inset="0,0,0,0">
                  <w:txbxContent>
                    <w:p w:rsidR="001A426C" w:rsidRDefault="001A426C">
                      <w:pPr>
                        <w:spacing w:before="33"/>
                        <w:ind w:left="152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A426C" w:rsidRDefault="001A426C" w:rsidP="00427517">
      <w:pPr>
        <w:pStyle w:val="BodyText"/>
        <w:jc w:val="both"/>
        <w:rPr>
          <w:b/>
          <w:sz w:val="20"/>
        </w:rPr>
      </w:pPr>
    </w:p>
    <w:p w:rsidR="001A426C" w:rsidRDefault="001A426C" w:rsidP="00427517">
      <w:pPr>
        <w:pStyle w:val="BodyText"/>
        <w:jc w:val="both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spacing w:before="9"/>
        <w:rPr>
          <w:b/>
          <w:sz w:val="27"/>
        </w:rPr>
      </w:pPr>
    </w:p>
    <w:p w:rsidR="001A426C" w:rsidRDefault="00760879">
      <w:pPr>
        <w:tabs>
          <w:tab w:val="left" w:pos="11099"/>
        </w:tabs>
        <w:spacing w:before="95"/>
        <w:ind w:left="100"/>
        <w:rPr>
          <w:rFonts w:ascii="Arial"/>
          <w:sz w:val="16"/>
        </w:rPr>
      </w:pPr>
      <w:r>
        <w:rPr>
          <w:rFonts w:ascii="Arial"/>
          <w:spacing w:val="-6"/>
          <w:sz w:val="16"/>
        </w:rPr>
        <w:tab/>
      </w:r>
      <w:r>
        <w:rPr>
          <w:rFonts w:ascii="Arial"/>
          <w:spacing w:val="-5"/>
          <w:sz w:val="16"/>
        </w:rPr>
        <w:t>1/1</w:t>
      </w:r>
    </w:p>
    <w:sectPr w:rsidR="001A426C" w:rsidSect="00C125C4">
      <w:type w:val="continuous"/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26C"/>
    <w:rsid w:val="001A426C"/>
    <w:rsid w:val="00383224"/>
    <w:rsid w:val="00427517"/>
    <w:rsid w:val="004F5E54"/>
    <w:rsid w:val="00685447"/>
    <w:rsid w:val="00760879"/>
    <w:rsid w:val="007F3EB8"/>
    <w:rsid w:val="00925FF3"/>
    <w:rsid w:val="00C125C4"/>
    <w:rsid w:val="00C51C6F"/>
    <w:rsid w:val="00EB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Segoe UI" w:eastAsia="Segoe UI" w:hAnsi="Segoe UI" w:cs="Segoe UI"/>
      <w:lang w:bidi="en-US"/>
    </w:rPr>
  </w:style>
  <w:style w:type="paragraph" w:styleId="Heading1">
    <w:name w:val="heading 1"/>
    <w:basedOn w:val="Normal"/>
    <w:uiPriority w:val="1"/>
    <w:qFormat/>
    <w:pPr>
      <w:ind w:left="46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EndNoteBibliography">
    <w:name w:val="EndNote Bibliography"/>
    <w:basedOn w:val="Normal"/>
    <w:link w:val="EndNoteBibliographyChar"/>
    <w:rsid w:val="00383224"/>
    <w:pPr>
      <w:widowControl/>
      <w:autoSpaceDE/>
      <w:autoSpaceDN/>
      <w:spacing w:after="160"/>
    </w:pPr>
    <w:rPr>
      <w:rFonts w:ascii="Calibri" w:eastAsia="Calibri" w:hAnsi="Calibri" w:cs="Calibr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383224"/>
    <w:rPr>
      <w:rFonts w:ascii="Calibri" w:eastAsia="Calibri" w:hAnsi="Calibri" w:cs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Segoe UI" w:eastAsia="Segoe UI" w:hAnsi="Segoe UI" w:cs="Segoe UI"/>
      <w:lang w:bidi="en-US"/>
    </w:rPr>
  </w:style>
  <w:style w:type="paragraph" w:styleId="Heading1">
    <w:name w:val="heading 1"/>
    <w:basedOn w:val="Normal"/>
    <w:uiPriority w:val="1"/>
    <w:qFormat/>
    <w:pPr>
      <w:ind w:left="46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EndNoteBibliography">
    <w:name w:val="EndNote Bibliography"/>
    <w:basedOn w:val="Normal"/>
    <w:link w:val="EndNoteBibliographyChar"/>
    <w:rsid w:val="00383224"/>
    <w:pPr>
      <w:widowControl/>
      <w:autoSpaceDE/>
      <w:autoSpaceDN/>
      <w:spacing w:after="160"/>
    </w:pPr>
    <w:rPr>
      <w:rFonts w:ascii="Calibri" w:eastAsia="Calibri" w:hAnsi="Calibri" w:cs="Calibr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383224"/>
    <w:rPr>
      <w:rFonts w:ascii="Calibri" w:eastAsia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physics</dc:creator>
  <cp:lastModifiedBy>physics</cp:lastModifiedBy>
  <cp:revision>2</cp:revision>
  <dcterms:created xsi:type="dcterms:W3CDTF">2018-08-29T13:08:00Z</dcterms:created>
  <dcterms:modified xsi:type="dcterms:W3CDTF">2018-08-29T13:08:00Z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2017-01-31T00:00:00Z</vt:filetime>
  </property>
  <property fmtid="{D5CDD505-2E9C-101B-9397-08002B2CF9AE}" pid="3" name="Creator">
    <vt:lpwstr>Mozilla/5.0 (Windows NT 6.1) AppleWebKit/537.36 (KHTML, like Gecko) Chrome/55.0.2883.87 Safari/537.36</vt:lpwstr>
  </property>
  <property fmtid="{D5CDD505-2E9C-101B-9397-08002B2CF9AE}" pid="4" name="LastSaved">
    <vt:filetime>2018-08-29T00:00:00Z</vt:filetime>
  </property>
</Properties>
</file>