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26C" w:rsidRDefault="00760879" w:rsidP="00760879">
      <w:pPr>
        <w:tabs>
          <w:tab w:val="left" w:pos="3274"/>
        </w:tabs>
        <w:spacing w:before="70"/>
        <w:ind w:left="100"/>
        <w:rPr>
          <w:rFonts w:ascii="Arial"/>
          <w:sz w:val="16"/>
        </w:rPr>
      </w:pPr>
      <w:r>
        <w:rPr>
          <w:rFonts w:ascii="Arial"/>
          <w:spacing w:val="-8"/>
          <w:sz w:val="16"/>
        </w:rPr>
        <w:tab/>
      </w:r>
      <w:r>
        <w:rPr>
          <w:rFonts w:ascii="Arial"/>
          <w:spacing w:val="-5"/>
          <w:sz w:val="16"/>
        </w:rPr>
        <w:t>Pathological</w:t>
      </w:r>
      <w:r>
        <w:rPr>
          <w:rFonts w:ascii="Arial"/>
          <w:sz w:val="16"/>
        </w:rPr>
        <w:t xml:space="preserve"> </w:t>
      </w:r>
      <w:r>
        <w:rPr>
          <w:rFonts w:ascii="Arial"/>
          <w:spacing w:val="-4"/>
          <w:sz w:val="16"/>
        </w:rPr>
        <w:t>response</w:t>
      </w:r>
      <w:r>
        <w:rPr>
          <w:rFonts w:ascii="Arial"/>
          <w:spacing w:val="-13"/>
          <w:sz w:val="16"/>
        </w:rPr>
        <w:t xml:space="preserve"> </w:t>
      </w:r>
      <w:r>
        <w:rPr>
          <w:rFonts w:ascii="Arial"/>
          <w:spacing w:val="-3"/>
          <w:sz w:val="16"/>
        </w:rPr>
        <w:t>predictors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z w:val="16"/>
        </w:rPr>
        <w:t>in</w:t>
      </w:r>
      <w:r>
        <w:rPr>
          <w:rFonts w:ascii="Arial"/>
          <w:spacing w:val="-14"/>
          <w:sz w:val="16"/>
        </w:rPr>
        <w:t xml:space="preserve"> </w:t>
      </w:r>
      <w:r>
        <w:rPr>
          <w:rFonts w:ascii="Arial"/>
          <w:spacing w:val="-7"/>
          <w:sz w:val="16"/>
        </w:rPr>
        <w:t>neoadjuvant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pacing w:val="-4"/>
          <w:sz w:val="16"/>
        </w:rPr>
        <w:t>breast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5"/>
          <w:sz w:val="16"/>
        </w:rPr>
        <w:t>cancer,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z w:val="16"/>
        </w:rPr>
        <w:t>A</w:t>
      </w:r>
      <w:r>
        <w:rPr>
          <w:rFonts w:ascii="Arial"/>
          <w:spacing w:val="-11"/>
          <w:sz w:val="16"/>
        </w:rPr>
        <w:t xml:space="preserve"> </w:t>
      </w:r>
      <w:r>
        <w:rPr>
          <w:rFonts w:ascii="Arial"/>
          <w:spacing w:val="-3"/>
          <w:sz w:val="16"/>
        </w:rPr>
        <w:t>report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pacing w:val="-5"/>
          <w:sz w:val="16"/>
        </w:rPr>
        <w:t xml:space="preserve">of 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Iran</w:t>
      </w:r>
    </w:p>
    <w:p w:rsidR="001A426C" w:rsidRDefault="001A426C">
      <w:pPr>
        <w:pStyle w:val="BodyText"/>
        <w:spacing w:before="3"/>
        <w:rPr>
          <w:rFonts w:ascii="Arial"/>
        </w:rPr>
      </w:pPr>
    </w:p>
    <w:p w:rsidR="001A426C" w:rsidRDefault="00760879" w:rsidP="00760879">
      <w:pPr>
        <w:pStyle w:val="BodyText"/>
        <w:tabs>
          <w:tab w:val="left" w:pos="1271"/>
        </w:tabs>
        <w:spacing w:before="36" w:line="271" w:lineRule="auto"/>
        <w:ind w:left="460" w:right="3668"/>
      </w:pPr>
      <w:r>
        <w:rPr>
          <w:color w:val="3E454B"/>
        </w:rPr>
        <w:t xml:space="preserve">Pathological response predictors in neoadjuvant breast cancer, A report of </w:t>
      </w:r>
      <w:r>
        <w:rPr>
          <w:color w:val="3E454B"/>
          <w:spacing w:val="-5"/>
        </w:rPr>
        <w:t xml:space="preserve">Iran </w:t>
      </w:r>
      <w:bookmarkStart w:id="0" w:name="_GoBack"/>
      <w:bookmarkEnd w:id="0"/>
    </w:p>
    <w:p w:rsidR="001A426C" w:rsidRDefault="00760879">
      <w:pPr>
        <w:pStyle w:val="BodyText"/>
        <w:spacing w:before="32" w:line="252" w:lineRule="auto"/>
        <w:ind w:left="1271" w:right="730" w:hanging="812"/>
      </w:pPr>
      <w:r>
        <w:rPr>
          <w:color w:val="3E454B"/>
          <w:position w:val="5"/>
        </w:rPr>
        <w:t xml:space="preserve">Authors: </w:t>
      </w:r>
      <w:r>
        <w:rPr>
          <w:color w:val="3E454B"/>
          <w:u w:val="single" w:color="3E454B"/>
        </w:rPr>
        <w:t>M. Malekzadeh Moghani</w:t>
      </w:r>
      <w:r>
        <w:rPr>
          <w:color w:val="3E454B"/>
          <w:position w:val="8"/>
          <w:sz w:val="17"/>
        </w:rPr>
        <w:t>1</w:t>
      </w:r>
      <w:r>
        <w:rPr>
          <w:color w:val="3E454B"/>
        </w:rPr>
        <w:t>, P. Sasanpour</w:t>
      </w:r>
      <w:r>
        <w:rPr>
          <w:color w:val="3E454B"/>
          <w:position w:val="8"/>
          <w:sz w:val="17"/>
        </w:rPr>
        <w:t>2</w:t>
      </w:r>
      <w:r>
        <w:rPr>
          <w:color w:val="3E454B"/>
        </w:rPr>
        <w:t xml:space="preserve">; </w:t>
      </w:r>
      <w:r>
        <w:rPr>
          <w:color w:val="3E454B"/>
          <w:position w:val="8"/>
          <w:sz w:val="17"/>
        </w:rPr>
        <w:t>1</w:t>
      </w:r>
      <w:r>
        <w:rPr>
          <w:color w:val="3E454B"/>
        </w:rPr>
        <w:t xml:space="preserve">Radiation Oncology, Shahid Beheshti University of Medical Sciences, Tehran, IR, </w:t>
      </w:r>
      <w:r>
        <w:rPr>
          <w:color w:val="3E454B"/>
          <w:position w:val="8"/>
          <w:sz w:val="17"/>
        </w:rPr>
        <w:t>2</w:t>
      </w:r>
      <w:r>
        <w:rPr>
          <w:color w:val="3E454B"/>
        </w:rPr>
        <w:t>Radiation oncology, Shahid Beheshti university of medical sciences, Tehran, IR</w:t>
      </w:r>
    </w:p>
    <w:p w:rsidR="001A426C" w:rsidRDefault="001A426C">
      <w:pPr>
        <w:pStyle w:val="BodyText"/>
        <w:spacing w:before="1"/>
        <w:rPr>
          <w:sz w:val="23"/>
        </w:rPr>
      </w:pPr>
    </w:p>
    <w:p w:rsidR="001A426C" w:rsidRDefault="00760879">
      <w:pPr>
        <w:pStyle w:val="Heading1"/>
      </w:pPr>
      <w:r>
        <w:rPr>
          <w:color w:val="3E454B"/>
        </w:rPr>
        <w:t>Body</w:t>
      </w:r>
    </w:p>
    <w:p w:rsidR="001A426C" w:rsidRDefault="00760879">
      <w:pPr>
        <w:pStyle w:val="BodyText"/>
        <w:spacing w:before="37" w:line="244" w:lineRule="auto"/>
        <w:ind w:left="460" w:right="518"/>
      </w:pPr>
      <w:r>
        <w:rPr>
          <w:b/>
          <w:bCs/>
          <w:color w:val="3E454B"/>
        </w:rPr>
        <w:t>Background</w:t>
      </w:r>
      <w:r>
        <w:rPr>
          <w:color w:val="3E454B"/>
        </w:rPr>
        <w:t xml:space="preserve">: breast cancer in Iran like other parts of the world is the first cancer in women, one of the classification is locally advance breast cancer 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LABC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 xml:space="preserve"> which despite improvements in treatment remains mostly incurable. All attempts now are to change what affe</w:t>
      </w:r>
      <w:r>
        <w:rPr>
          <w:color w:val="3E454B"/>
        </w:rPr>
        <w:t xml:space="preserve">cts this issue. Neoadjuvant chemotherapy and pathologic complete response 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pCR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 xml:space="preserve"> is a goal in short time, which can predict treatment outcomes. pCR means no pathological residual tumor in breast and lymph node after chemotherapy by examination. The aim of t</w:t>
      </w:r>
      <w:r>
        <w:rPr>
          <w:color w:val="3E454B"/>
        </w:rPr>
        <w:t>his article is to assess factors that influence pCR.</w:t>
      </w:r>
    </w:p>
    <w:p w:rsidR="001A426C" w:rsidRDefault="00760879">
      <w:pPr>
        <w:pStyle w:val="BodyText"/>
        <w:spacing w:before="213" w:line="244" w:lineRule="auto"/>
        <w:ind w:left="460" w:right="645"/>
      </w:pPr>
      <w:r>
        <w:rPr>
          <w:b/>
          <w:bCs/>
          <w:color w:val="3E454B"/>
        </w:rPr>
        <w:t>Method</w:t>
      </w:r>
      <w:r>
        <w:rPr>
          <w:color w:val="3E454B"/>
        </w:rPr>
        <w:t xml:space="preserve">: 214 breast cancer patients who received neoadjuvant chemotherapy in Tehran ,Shohada hospital 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one of breast cancer research center and referral hospital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 xml:space="preserve"> during 2011 to 2017, were evaluated.The t</w:t>
      </w:r>
      <w:r>
        <w:rPr>
          <w:color w:val="3E454B"/>
        </w:rPr>
        <w:t xml:space="preserve">reatment regimen was consist of Antracyclin, taxane 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plus trastusumab base on consideration of HER2/neu receptor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>.</w:t>
      </w:r>
    </w:p>
    <w:p w:rsidR="001A426C" w:rsidRDefault="00760879">
      <w:pPr>
        <w:pStyle w:val="BodyText"/>
        <w:spacing w:before="1" w:line="244" w:lineRule="auto"/>
        <w:ind w:left="460" w:right="603"/>
      </w:pPr>
      <w:r>
        <w:rPr>
          <w:color w:val="3E454B"/>
        </w:rPr>
        <w:t xml:space="preserve">Different variables; tumor characteristics 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appearance and size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>, and patients’ demographic data were evaluated. Statistical analysis was per</w:t>
      </w:r>
      <w:r>
        <w:rPr>
          <w:color w:val="3E454B"/>
        </w:rPr>
        <w:t>formed.</w:t>
      </w:r>
    </w:p>
    <w:p w:rsidR="001A426C" w:rsidRDefault="00760879">
      <w:pPr>
        <w:pStyle w:val="BodyText"/>
        <w:spacing w:before="211" w:line="244" w:lineRule="auto"/>
        <w:ind w:left="460" w:right="509"/>
      </w:pPr>
      <w:r>
        <w:rPr>
          <w:b/>
          <w:bCs/>
          <w:color w:val="3E454B"/>
        </w:rPr>
        <w:t xml:space="preserve">Result </w:t>
      </w:r>
      <w:r>
        <w:rPr>
          <w:color w:val="3E454B"/>
        </w:rPr>
        <w:t>:214 of 2665 patients were LABC, with median age of 47.7, 35% were menopause and 11.7% positive family history of breast cancer, 40.4 % were advance stage and 38 % had pathologic grade 3. Finally 33.3 % achieved pCR; pCR was non significantl</w:t>
      </w:r>
      <w:r>
        <w:rPr>
          <w:color w:val="3E454B"/>
        </w:rPr>
        <w:t>y higher in positive history of pregnancy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78%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 xml:space="preserve"> than patients without history of complete pregnancy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65%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 xml:space="preserve"> 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p=.024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 xml:space="preserve">. pCR was 68% in patients with history of breast feeding and 60% in negative breast feeding 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p=.03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>. There is a higher trend in stage II patient</w:t>
      </w:r>
      <w:r>
        <w:rPr>
          <w:color w:val="3E454B"/>
        </w:rPr>
        <w:t>s,63% in comparison to 46% in stage III,</w:t>
      </w:r>
    </w:p>
    <w:p w:rsidR="001A426C" w:rsidRDefault="00760879">
      <w:pPr>
        <w:pStyle w:val="BodyText"/>
        <w:spacing w:before="3" w:line="244" w:lineRule="auto"/>
        <w:ind w:left="460" w:right="563"/>
      </w:pPr>
      <w:r>
        <w:rPr>
          <w:color w:val="3E454B"/>
          <w:rtl/>
          <w:lang w:bidi="ar-SA"/>
        </w:rPr>
        <w:t>﴾</w:t>
      </w:r>
      <w:r>
        <w:rPr>
          <w:color w:val="3E454B"/>
        </w:rPr>
        <w:t>p=.048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 xml:space="preserve">, 65% in tumor by clinical size of smaller than 5 cm compare to 52% in larger mass 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p=.038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 xml:space="preserve">, pCR reported to be 75% in sample without lymphovascular invasion 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LVI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 xml:space="preserve"> but only 39% in positive LVI 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p=.02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 xml:space="preserve">, 87% in higher Ki67 index compare to 68% in sample with Ki67 percentage less than 10 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p=.067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 xml:space="preserve"> and the significant difference was found in triple negative tumors,50% in comparison to 35% pCR in other group </w:t>
      </w:r>
      <w:r>
        <w:rPr>
          <w:color w:val="3E454B"/>
          <w:rtl/>
          <w:lang w:bidi="ar-SA"/>
        </w:rPr>
        <w:t>﴾</w:t>
      </w:r>
      <w:r>
        <w:rPr>
          <w:color w:val="3E454B"/>
        </w:rPr>
        <w:t>p=.005</w:t>
      </w:r>
      <w:r>
        <w:rPr>
          <w:color w:val="3E454B"/>
          <w:rtl/>
          <w:lang w:bidi="ar-SA"/>
        </w:rPr>
        <w:t>﴿</w:t>
      </w:r>
      <w:r>
        <w:rPr>
          <w:color w:val="3E454B"/>
        </w:rPr>
        <w:t>.</w:t>
      </w:r>
    </w:p>
    <w:p w:rsidR="001A426C" w:rsidRDefault="00760879">
      <w:pPr>
        <w:pStyle w:val="BodyText"/>
        <w:spacing w:before="212" w:line="244" w:lineRule="auto"/>
        <w:ind w:left="460" w:right="588"/>
      </w:pPr>
      <w:r>
        <w:rPr>
          <w:b/>
          <w:color w:val="3E454B"/>
        </w:rPr>
        <w:t>Conclusion</w:t>
      </w:r>
      <w:r>
        <w:rPr>
          <w:color w:val="3E454B"/>
        </w:rPr>
        <w:t>: We observe more ocurrence of</w:t>
      </w:r>
      <w:r>
        <w:rPr>
          <w:color w:val="3E454B"/>
        </w:rPr>
        <w:t xml:space="preserve"> pCR in small, triple negative breast cancer without LVI. However the study was retrograde and we hope that in prospective future evaluation could identify other items.</w:t>
      </w:r>
    </w:p>
    <w:p w:rsidR="001A426C" w:rsidRDefault="001A426C">
      <w:pPr>
        <w:pStyle w:val="BodyText"/>
        <w:spacing w:before="1"/>
        <w:rPr>
          <w:sz w:val="26"/>
        </w:rPr>
      </w:pPr>
    </w:p>
    <w:p w:rsidR="001A426C" w:rsidRDefault="00760879">
      <w:pPr>
        <w:pStyle w:val="BodyText"/>
        <w:spacing w:before="9"/>
        <w:rPr>
          <w:b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6772910</wp:posOffset>
                </wp:positionH>
                <wp:positionV relativeFrom="paragraph">
                  <wp:posOffset>238125</wp:posOffset>
                </wp:positionV>
                <wp:extent cx="496570" cy="238760"/>
                <wp:effectExtent l="10160" t="9525" r="7620" b="889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570" cy="238760"/>
                        </a:xfrm>
                        <a:prstGeom prst="rect">
                          <a:avLst/>
                        </a:prstGeom>
                        <a:noFill/>
                        <a:ln w="9538">
                          <a:solidFill>
                            <a:srgbClr val="CCCCC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A426C" w:rsidRDefault="001A426C">
                            <w:pPr>
                              <w:spacing w:before="33"/>
                              <w:ind w:left="152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33.3pt;margin-top:18.75pt;width:39.1pt;height:18.8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gi8hAIAABcFAAAOAAAAZHJzL2Uyb0RvYy54bWysVF1v2yAUfZ+0/4B4T2ynbppYdarOTqZJ&#10;3YfU7gcQjGM0DB6Q2Nm0/74LxGm6vkzTeMDXcDncc++53N4NrUAHpg1XMsfJNMaISaoqLnc5/vq0&#10;mSwwMpbIigglWY6PzOC71ds3t32XsZlqlKiYRgAiTdZ3OW6s7bIoMrRhLTFT1TEJm7XSLbHwq3dR&#10;pUkP6K2IZnE8j3qlq04ryoyB1TJs4pXHr2tG7ee6NswikWOIzfpZ+3nr5mh1S7KdJl3D6SkM8g9R&#10;tIRLuPQMVRJL0F7zV1Atp1oZVdspVW2k6ppT5jkAmyT+g81jQzrmuUByTHdOk/l/sPTT4YtGvILa&#10;YSRJCyV6YoNF79SAZi47fWcycHrswM0OsOw8HVPTPSj6zSCpiobIHbvXWvUNIxVEl7iT0cXRgGMc&#10;yLb/qCq4huyt8kBDrVsHCMlAgA5VOp4r40KhsJgu59c3sENha3a1uJn7ykUkGw932tj3TLXIGTnW&#10;UHgPTg4PxrpgSDa6uLuk2nAhfPGFRH2Ol9dXi0BLCV65Tc9R77aF0OhAQD6FH54ZsL90c8glMU3w&#10;81tBWC23oG7B2xwvYjfCssvSWlb+eku4CDaEKKS7FUhD0CcrqOjnMl6uF+tFOkln8/Ukjctycr8p&#10;0sl8k9xcl1dlUZTJL0cgSbOGVxWTjsOo6CT9O8Wceito8azpF1zNZUo2frxOSfQyDJ9+YDV+PTsv&#10;D6eIoA07bAdIiNPMVlVHEIpWoVvhdQGjUfoHRj10ao7N9z3RDCPxQYLYXFuPhh6N7WgQSeFoji1G&#10;wSxsaP99p/muAeQgZ6nuQZA192J5juIkY+g+H/zppXDtffnvvZ7fs9VvAAAA//8DAFBLAwQUAAYA&#10;CAAAACEAO9zo8d4AAAALAQAADwAAAGRycy9kb3ducmV2LnhtbEyPwU7DMBBE70j8g7VI3KgdaNwq&#10;xKkQarmnKRLHbbIkUeN1FLtt+HvcExxH+zT7Jt/MdhAXmnzv2ECyUCCIa9f03Bo4VLunNQgfkBsc&#10;HJOBH/KwKe7vcswad+WSLvvQiljCPkMDXQhjJqWvO7LoF24kjrdvN1kMMU6tbCa8xnI7yGeltLTY&#10;c/zQ4UjvHdWn/dka2Dmsy1J/pVtan6rtR/+ZViox5vFhfnsFEWgOfzDc9KM6FNHp6M7ceDHErLTW&#10;kTXwskpB3IhkuYxrjgZWaQKyyOX/DcUvAAAA//8DAFBLAQItABQABgAIAAAAIQC2gziS/gAAAOEB&#10;AAATAAAAAAAAAAAAAAAAAAAAAABbQ29udGVudF9UeXBlc10ueG1sUEsBAi0AFAAGAAgAAAAhADj9&#10;If/WAAAAlAEAAAsAAAAAAAAAAAAAAAAALwEAAF9yZWxzLy5yZWxzUEsBAi0AFAAGAAgAAAAhACdS&#10;CLyEAgAAFwUAAA4AAAAAAAAAAAAAAAAALgIAAGRycy9lMm9Eb2MueG1sUEsBAi0AFAAGAAgAAAAh&#10;ADvc6PHeAAAACwEAAA8AAAAAAAAAAAAAAAAA3gQAAGRycy9kb3ducmV2LnhtbFBLBQYAAAAABAAE&#10;APMAAADpBQAAAAA=&#10;" filled="f" strokecolor="#ccc" strokeweight=".26494mm">
                <v:textbox inset="0,0,0,0">
                  <w:txbxContent>
                    <w:p w:rsidR="001A426C" w:rsidRDefault="001A426C">
                      <w:pPr>
                        <w:spacing w:before="33"/>
                        <w:ind w:left="152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rPr>
          <w:b/>
          <w:sz w:val="20"/>
        </w:rPr>
      </w:pPr>
    </w:p>
    <w:p w:rsidR="001A426C" w:rsidRDefault="001A426C">
      <w:pPr>
        <w:pStyle w:val="BodyText"/>
        <w:spacing w:before="9"/>
        <w:rPr>
          <w:b/>
          <w:sz w:val="27"/>
        </w:rPr>
      </w:pPr>
    </w:p>
    <w:p w:rsidR="001A426C" w:rsidRDefault="00760879">
      <w:pPr>
        <w:tabs>
          <w:tab w:val="left" w:pos="11099"/>
        </w:tabs>
        <w:spacing w:before="95"/>
        <w:ind w:left="100"/>
        <w:rPr>
          <w:rFonts w:ascii="Arial"/>
          <w:sz w:val="16"/>
        </w:rPr>
      </w:pPr>
      <w:r>
        <w:rPr>
          <w:rFonts w:ascii="Arial"/>
          <w:spacing w:val="-6"/>
          <w:sz w:val="16"/>
        </w:rPr>
        <w:tab/>
      </w:r>
      <w:r>
        <w:rPr>
          <w:rFonts w:ascii="Arial"/>
          <w:spacing w:val="-5"/>
          <w:sz w:val="16"/>
        </w:rPr>
        <w:t>1/1</w:t>
      </w:r>
    </w:p>
    <w:sectPr w:rsidR="001A426C">
      <w:type w:val="continuous"/>
      <w:pgSz w:w="12240" w:h="15840"/>
      <w:pgMar w:top="220" w:right="4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26C"/>
    <w:rsid w:val="001A426C"/>
    <w:rsid w:val="0076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Segoe UI" w:eastAsia="Segoe UI" w:hAnsi="Segoe UI" w:cs="Segoe UI"/>
      <w:lang w:bidi="en-US"/>
    </w:rPr>
  </w:style>
  <w:style w:type="paragraph" w:styleId="Heading1">
    <w:name w:val="heading 1"/>
    <w:basedOn w:val="Normal"/>
    <w:uiPriority w:val="1"/>
    <w:qFormat/>
    <w:pPr>
      <w:ind w:left="46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Segoe UI" w:eastAsia="Segoe UI" w:hAnsi="Segoe UI" w:cs="Segoe UI"/>
      <w:lang w:bidi="en-US"/>
    </w:rPr>
  </w:style>
  <w:style w:type="paragraph" w:styleId="Heading1">
    <w:name w:val="heading 1"/>
    <w:basedOn w:val="Normal"/>
    <w:uiPriority w:val="1"/>
    <w:qFormat/>
    <w:pPr>
      <w:ind w:left="460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physics</dc:creator>
  <cp:lastModifiedBy>physics</cp:lastModifiedBy>
  <cp:revision>2</cp:revision>
  <dcterms:created xsi:type="dcterms:W3CDTF">2018-08-29T10:59:00Z</dcterms:created>
  <dcterms:modified xsi:type="dcterms:W3CDTF">2018-08-29T10:59:00Z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2017-01-31T00:00:00Z</vt:filetime>
  </property>
  <property fmtid="{D5CDD505-2E9C-101B-9397-08002B2CF9AE}" pid="3" name="Creator">
    <vt:lpwstr>Mozilla/5.0 (Windows NT 6.1) AppleWebKit/537.36 (KHTML, like Gecko) Chrome/55.0.2883.87 Safari/537.36</vt:lpwstr>
  </property>
  <property fmtid="{D5CDD505-2E9C-101B-9397-08002B2CF9AE}" pid="4" name="LastSaved">
    <vt:filetime>2018-08-29T00:00:00Z</vt:filetime>
  </property>
</Properties>
</file>