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2AE09" w14:textId="4F530834" w:rsidR="0008284E" w:rsidRPr="00DB598C" w:rsidRDefault="00DB598C" w:rsidP="00DB598C">
      <w:pPr>
        <w:jc w:val="both"/>
        <w:rPr>
          <w:rFonts w:asciiTheme="majorBidi" w:hAnsiTheme="majorBidi" w:cstheme="majorBidi"/>
          <w:sz w:val="28"/>
          <w:szCs w:val="28"/>
        </w:rPr>
      </w:pPr>
      <w:r w:rsidRPr="00DB598C">
        <w:rPr>
          <w:rFonts w:asciiTheme="majorBidi" w:hAnsiTheme="majorBidi" w:cstheme="majorBidi"/>
          <w:sz w:val="28"/>
          <w:szCs w:val="28"/>
        </w:rPr>
        <w:t>Comparison of Brain-Behavioral Systems and Metacognitive Beliefs Among substance abusers using methadone-resistant and non-resilient drugs</w:t>
      </w:r>
    </w:p>
    <w:p w14:paraId="3F6E846A" w14:textId="2F570FC8" w:rsidR="00DB598C" w:rsidRPr="00DB598C" w:rsidRDefault="00DB598C">
      <w:pPr>
        <w:rPr>
          <w:rFonts w:asciiTheme="majorBidi" w:hAnsiTheme="majorBidi" w:cstheme="majorBidi"/>
        </w:rPr>
      </w:pPr>
      <w:r w:rsidRPr="00DB598C">
        <w:rPr>
          <w:rFonts w:asciiTheme="majorBidi" w:hAnsiTheme="majorBidi" w:cstheme="majorBidi"/>
        </w:rPr>
        <w:t>Mehdi Dehestani</w:t>
      </w:r>
      <w:proofErr w:type="gramStart"/>
      <w:r w:rsidRPr="00DB598C">
        <w:rPr>
          <w:rFonts w:asciiTheme="majorBidi" w:hAnsiTheme="majorBidi" w:cstheme="majorBidi"/>
          <w:vertAlign w:val="superscript"/>
        </w:rPr>
        <w:t xml:space="preserve">1 </w:t>
      </w:r>
      <w:r w:rsidRPr="00DB598C">
        <w:rPr>
          <w:rFonts w:asciiTheme="majorBidi" w:hAnsiTheme="majorBidi" w:cstheme="majorBidi"/>
        </w:rPr>
        <w:t>,</w:t>
      </w:r>
      <w:proofErr w:type="gramEnd"/>
      <w:r w:rsidRPr="00DB598C">
        <w:rPr>
          <w:rFonts w:asciiTheme="majorBidi" w:hAnsiTheme="majorBidi" w:cstheme="majorBidi"/>
        </w:rPr>
        <w:t xml:space="preserve"> Seyyed Ali Hashemi</w:t>
      </w:r>
      <w:r w:rsidRPr="00DB598C">
        <w:rPr>
          <w:rFonts w:asciiTheme="majorBidi" w:hAnsiTheme="majorBidi" w:cstheme="majorBidi"/>
          <w:vertAlign w:val="superscript"/>
        </w:rPr>
        <w:t>2</w:t>
      </w:r>
      <w:r w:rsidRPr="00DB598C">
        <w:rPr>
          <w:rFonts w:asciiTheme="majorBidi" w:hAnsiTheme="majorBidi" w:cstheme="majorBidi"/>
        </w:rPr>
        <w:t xml:space="preserve"> , Hossein Khodaei</w:t>
      </w:r>
      <w:r w:rsidRPr="00DB598C">
        <w:rPr>
          <w:rFonts w:asciiTheme="majorBidi" w:hAnsiTheme="majorBidi" w:cstheme="majorBidi"/>
          <w:vertAlign w:val="superscript"/>
        </w:rPr>
        <w:t>3</w:t>
      </w:r>
    </w:p>
    <w:p w14:paraId="3A054532" w14:textId="14F560C0" w:rsidR="00DB598C" w:rsidRPr="00E45A10" w:rsidRDefault="00DB598C" w:rsidP="00E45A10">
      <w:pPr>
        <w:spacing w:after="120" w:line="240" w:lineRule="auto"/>
        <w:rPr>
          <w:rFonts w:asciiTheme="majorBidi" w:hAnsiTheme="majorBidi" w:cstheme="majorBidi"/>
          <w:sz w:val="20"/>
          <w:szCs w:val="20"/>
        </w:rPr>
      </w:pPr>
      <w:r w:rsidRPr="00E45A10">
        <w:rPr>
          <w:rFonts w:asciiTheme="majorBidi" w:hAnsiTheme="majorBidi" w:cstheme="majorBidi"/>
          <w:sz w:val="20"/>
          <w:szCs w:val="20"/>
          <w:vertAlign w:val="superscript"/>
        </w:rPr>
        <w:t>1</w:t>
      </w:r>
      <w:r w:rsidRPr="00E45A10">
        <w:rPr>
          <w:rFonts w:asciiTheme="majorBidi" w:hAnsiTheme="majorBidi" w:cstheme="majorBidi"/>
          <w:sz w:val="20"/>
          <w:szCs w:val="20"/>
        </w:rPr>
        <w:t xml:space="preserve"> PhD in Clinical Psychology, Associate Professor of Psychology, </w:t>
      </w:r>
      <w:proofErr w:type="spellStart"/>
      <w:r w:rsidRPr="00E45A10">
        <w:rPr>
          <w:rFonts w:asciiTheme="majorBidi" w:hAnsiTheme="majorBidi" w:cstheme="majorBidi"/>
          <w:sz w:val="20"/>
          <w:szCs w:val="20"/>
        </w:rPr>
        <w:t>Payame</w:t>
      </w:r>
      <w:proofErr w:type="spellEnd"/>
      <w:r w:rsidRPr="00E45A10">
        <w:rPr>
          <w:rFonts w:asciiTheme="majorBidi" w:hAnsiTheme="majorBidi" w:cstheme="majorBidi"/>
          <w:sz w:val="20"/>
          <w:szCs w:val="20"/>
        </w:rPr>
        <w:t xml:space="preserve"> Noor University, Iran.</w:t>
      </w:r>
    </w:p>
    <w:p w14:paraId="248D60B8" w14:textId="3DABA8BD" w:rsidR="00DB598C" w:rsidRPr="00E45A10" w:rsidRDefault="00DB598C" w:rsidP="00E45A10">
      <w:pPr>
        <w:spacing w:after="120" w:line="240" w:lineRule="auto"/>
        <w:rPr>
          <w:rFonts w:asciiTheme="majorBidi" w:hAnsiTheme="majorBidi" w:cstheme="majorBidi"/>
          <w:sz w:val="20"/>
          <w:szCs w:val="20"/>
        </w:rPr>
      </w:pPr>
      <w:r w:rsidRPr="00E45A10">
        <w:rPr>
          <w:rFonts w:asciiTheme="majorBidi" w:hAnsiTheme="majorBidi" w:cstheme="majorBidi"/>
          <w:sz w:val="20"/>
          <w:szCs w:val="20"/>
          <w:vertAlign w:val="superscript"/>
        </w:rPr>
        <w:t>2</w:t>
      </w:r>
      <w:r w:rsidRPr="00E45A10">
        <w:rPr>
          <w:rFonts w:asciiTheme="majorBidi" w:hAnsiTheme="majorBidi" w:cstheme="majorBidi"/>
          <w:sz w:val="20"/>
          <w:szCs w:val="20"/>
        </w:rPr>
        <w:t xml:space="preserve"> PhD Student of Psychology, Islamic Azad University, Science Research Branch, Tehran, Iran.</w:t>
      </w:r>
    </w:p>
    <w:p w14:paraId="7D753ADD" w14:textId="4364E7AC" w:rsidR="00DB598C" w:rsidRPr="00E45A10" w:rsidRDefault="00DB598C" w:rsidP="00E45A10">
      <w:pPr>
        <w:spacing w:after="120" w:line="240" w:lineRule="auto"/>
        <w:rPr>
          <w:rFonts w:asciiTheme="majorBidi" w:hAnsiTheme="majorBidi" w:cstheme="majorBidi"/>
          <w:sz w:val="20"/>
          <w:szCs w:val="20"/>
          <w:lang w:bidi="fa-IR"/>
        </w:rPr>
      </w:pPr>
      <w:r w:rsidRPr="00E45A10">
        <w:rPr>
          <w:rFonts w:asciiTheme="majorBidi" w:hAnsiTheme="majorBidi" w:cstheme="majorBidi"/>
          <w:sz w:val="20"/>
          <w:szCs w:val="20"/>
          <w:vertAlign w:val="superscript"/>
        </w:rPr>
        <w:t>3</w:t>
      </w:r>
      <w:r w:rsidRPr="00E45A10">
        <w:rPr>
          <w:rFonts w:asciiTheme="majorBidi" w:hAnsiTheme="majorBidi" w:cstheme="majorBidi"/>
          <w:sz w:val="20"/>
          <w:szCs w:val="20"/>
          <w:lang w:bidi="fa-IR"/>
        </w:rPr>
        <w:t xml:space="preserve"> M.S Student of Psychology, </w:t>
      </w:r>
      <w:proofErr w:type="spellStart"/>
      <w:r w:rsidRPr="00E45A10">
        <w:rPr>
          <w:rFonts w:asciiTheme="majorBidi" w:hAnsiTheme="majorBidi" w:cstheme="majorBidi"/>
          <w:sz w:val="20"/>
          <w:szCs w:val="20"/>
        </w:rPr>
        <w:t>Payame</w:t>
      </w:r>
      <w:proofErr w:type="spellEnd"/>
      <w:r w:rsidRPr="00E45A10">
        <w:rPr>
          <w:rFonts w:asciiTheme="majorBidi" w:hAnsiTheme="majorBidi" w:cstheme="majorBidi"/>
          <w:sz w:val="20"/>
          <w:szCs w:val="20"/>
        </w:rPr>
        <w:t xml:space="preserve"> Noor University</w:t>
      </w:r>
      <w:r w:rsidRPr="00E45A10">
        <w:rPr>
          <w:rFonts w:asciiTheme="majorBidi" w:hAnsiTheme="majorBidi" w:cstheme="majorBidi"/>
          <w:sz w:val="20"/>
          <w:szCs w:val="20"/>
          <w:lang w:bidi="fa-IR"/>
        </w:rPr>
        <w:t>.</w:t>
      </w:r>
    </w:p>
    <w:p w14:paraId="614F2575" w14:textId="77777777" w:rsidR="00BE6C23" w:rsidRDefault="00BE6C23" w:rsidP="00BE6C23">
      <w:pPr>
        <w:pStyle w:val="Default"/>
        <w:rPr>
          <w:sz w:val="19"/>
          <w:szCs w:val="19"/>
        </w:rPr>
      </w:pPr>
      <w:r>
        <w:rPr>
          <w:b/>
          <w:bCs/>
          <w:sz w:val="19"/>
          <w:szCs w:val="19"/>
        </w:rPr>
        <w:t xml:space="preserve">I. Abstract Body </w:t>
      </w:r>
    </w:p>
    <w:p w14:paraId="6D350E50" w14:textId="77777777" w:rsidR="00BE6C23" w:rsidRDefault="00BE6C23" w:rsidP="00BE6C23">
      <w:pPr>
        <w:pStyle w:val="Default"/>
        <w:rPr>
          <w:sz w:val="19"/>
          <w:szCs w:val="19"/>
        </w:rPr>
      </w:pPr>
    </w:p>
    <w:p w14:paraId="11189524" w14:textId="286478A9" w:rsidR="00DB598C" w:rsidRDefault="00BE6C23" w:rsidP="00BE6C23">
      <w:pPr>
        <w:jc w:val="both"/>
        <w:rPr>
          <w:rFonts w:asciiTheme="majorBidi" w:hAnsiTheme="majorBidi" w:cstheme="majorBidi"/>
          <w:sz w:val="20"/>
          <w:szCs w:val="20"/>
        </w:rPr>
      </w:pPr>
      <w:r w:rsidRPr="00DB598C">
        <w:rPr>
          <w:rFonts w:asciiTheme="majorBidi" w:hAnsiTheme="majorBidi" w:cstheme="majorBidi"/>
          <w:sz w:val="20"/>
          <w:szCs w:val="20"/>
        </w:rPr>
        <w:t xml:space="preserve">The aim of this study was to compare brain-behavioral systems and metacognitive beliefs between substance abusers </w:t>
      </w:r>
      <w:proofErr w:type="spellStart"/>
      <w:r w:rsidRPr="00DB598C">
        <w:rPr>
          <w:rFonts w:asciiTheme="majorBidi" w:hAnsiTheme="majorBidi" w:cstheme="majorBidi"/>
          <w:sz w:val="20"/>
          <w:szCs w:val="20"/>
        </w:rPr>
        <w:t>resiliencents</w:t>
      </w:r>
      <w:proofErr w:type="spellEnd"/>
      <w:r w:rsidRPr="00DB598C">
        <w:rPr>
          <w:rFonts w:asciiTheme="majorBidi" w:hAnsiTheme="majorBidi" w:cstheme="majorBidi"/>
          <w:sz w:val="20"/>
          <w:szCs w:val="20"/>
        </w:rPr>
        <w:t xml:space="preserve"> and non-</w:t>
      </w:r>
      <w:proofErr w:type="spellStart"/>
      <w:r w:rsidRPr="00DB598C">
        <w:rPr>
          <w:rFonts w:asciiTheme="majorBidi" w:hAnsiTheme="majorBidi" w:cstheme="majorBidi"/>
          <w:sz w:val="20"/>
          <w:szCs w:val="20"/>
        </w:rPr>
        <w:t>resiliencents</w:t>
      </w:r>
      <w:proofErr w:type="spellEnd"/>
      <w:r w:rsidRPr="00DB598C">
        <w:rPr>
          <w:rFonts w:asciiTheme="majorBidi" w:hAnsiTheme="majorBidi" w:cstheme="majorBidi"/>
          <w:sz w:val="20"/>
          <w:szCs w:val="20"/>
        </w:rPr>
        <w:t xml:space="preserve"> treated with methadone. Method: The research method was causal-comparative. The statistical population is substance abusers who referred to Sama Drug Abuse Center in Isfahan. The sample size of the study was available through random sampling. The research tools were Conor and Davidson Resiliency Questionnaire, Gary Wilson Personality Questionnaire, and Wells Metacognition Questionnaire Short Form. In this study, descriptive statistics such as mean, standard deviation, standard error, variance, tilting, elongation and normality of data distribution were investigated. Multivariate analysis of variance was also used for data analysis. Results: The results show that variables such as positive beliefs about worry, negative beliefs about uncontrollability and risk perception, beliefs about need for thought control, cognitive trust, cognitive self-awareness, approach, active avoidance, passive avoidance, extinction. There was a significant difference at the 0.01 level in the resilience group compared to the non-resilience group. Conclusion: It can be concluded that the rate of behavioral brain systems in the methadone-treated substance abuser group is higher than that of the non-resilient methadone-treated group and the metacognitive beliefs in the non-resilient methadone-treated group are higher. The resuscitation group is more methadone-treated.</w:t>
      </w:r>
    </w:p>
    <w:p w14:paraId="3175BBB8" w14:textId="3D9122CC" w:rsidR="00E45A10" w:rsidRDefault="00E45A10" w:rsidP="00BE6C23">
      <w:pPr>
        <w:jc w:val="both"/>
        <w:rPr>
          <w:rFonts w:asciiTheme="majorBidi" w:hAnsiTheme="majorBidi" w:cstheme="majorBidi"/>
          <w:b/>
          <w:bCs/>
          <w:sz w:val="20"/>
          <w:szCs w:val="20"/>
        </w:rPr>
      </w:pPr>
      <w:r w:rsidRPr="00E45A10">
        <w:rPr>
          <w:rFonts w:asciiTheme="majorBidi" w:hAnsiTheme="majorBidi" w:cstheme="majorBidi"/>
          <w:b/>
          <w:bCs/>
          <w:sz w:val="20"/>
          <w:szCs w:val="20"/>
        </w:rPr>
        <w:t>II. Image:</w:t>
      </w:r>
    </w:p>
    <w:p w14:paraId="1588D875" w14:textId="7EF34512" w:rsidR="00E45A10" w:rsidRDefault="00E45A10" w:rsidP="00BE6C23">
      <w:pPr>
        <w:jc w:val="both"/>
        <w:rPr>
          <w:rFonts w:asciiTheme="majorBidi" w:hAnsiTheme="majorBidi" w:cstheme="majorBidi"/>
          <w:b/>
          <w:bCs/>
          <w:sz w:val="20"/>
          <w:szCs w:val="20"/>
        </w:rPr>
      </w:pPr>
      <w:r>
        <w:rPr>
          <w:rFonts w:asciiTheme="majorBidi" w:hAnsiTheme="majorBidi" w:cstheme="majorBidi"/>
          <w:b/>
          <w:bCs/>
          <w:noProof/>
          <w:sz w:val="20"/>
          <w:szCs w:val="20"/>
        </w:rPr>
        <w:drawing>
          <wp:inline distT="0" distB="0" distL="0" distR="0" wp14:anchorId="55ADC491" wp14:editId="48AD8E5B">
            <wp:extent cx="2343150" cy="1171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ex.jpeg"/>
                    <pic:cNvPicPr/>
                  </pic:nvPicPr>
                  <pic:blipFill>
                    <a:blip r:embed="rId7">
                      <a:extLst>
                        <a:ext uri="{28A0092B-C50C-407E-A947-70E740481C1C}">
                          <a14:useLocalDpi xmlns:a14="http://schemas.microsoft.com/office/drawing/2010/main" val="0"/>
                        </a:ext>
                      </a:extLst>
                    </a:blip>
                    <a:stretch>
                      <a:fillRect/>
                    </a:stretch>
                  </pic:blipFill>
                  <pic:spPr>
                    <a:xfrm>
                      <a:off x="0" y="0"/>
                      <a:ext cx="2349262" cy="1174631"/>
                    </a:xfrm>
                    <a:prstGeom prst="rect">
                      <a:avLst/>
                    </a:prstGeom>
                    <a:ln>
                      <a:noFill/>
                    </a:ln>
                    <a:effectLst>
                      <a:softEdge rad="31750"/>
                    </a:effectLst>
                  </pic:spPr>
                </pic:pic>
              </a:graphicData>
            </a:graphic>
          </wp:inline>
        </w:drawing>
      </w:r>
    </w:p>
    <w:p w14:paraId="0DAAC9E3" w14:textId="77777777" w:rsidR="00E45A10" w:rsidRPr="00E45A10" w:rsidRDefault="00E45A10" w:rsidP="00BE6C23">
      <w:pPr>
        <w:jc w:val="both"/>
        <w:rPr>
          <w:rFonts w:asciiTheme="majorBidi" w:hAnsiTheme="majorBidi" w:cstheme="majorBidi"/>
          <w:b/>
          <w:bCs/>
          <w:sz w:val="20"/>
          <w:szCs w:val="20"/>
        </w:rPr>
      </w:pPr>
    </w:p>
    <w:p w14:paraId="1913BB36" w14:textId="656B883B" w:rsidR="002F456D" w:rsidRPr="00BE6C23" w:rsidRDefault="00BE6C23" w:rsidP="00BE6C23">
      <w:pPr>
        <w:pStyle w:val="Default"/>
        <w:rPr>
          <w:b/>
          <w:bCs/>
          <w:sz w:val="19"/>
          <w:szCs w:val="19"/>
        </w:rPr>
      </w:pPr>
      <w:r w:rsidRPr="00BE6C23">
        <w:rPr>
          <w:b/>
          <w:bCs/>
          <w:sz w:val="19"/>
          <w:szCs w:val="19"/>
        </w:rPr>
        <w:t>III. Reference:</w:t>
      </w:r>
    </w:p>
    <w:p w14:paraId="5D9B8BD0" w14:textId="4B8BC6A6"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Alimardani</w:t>
      </w:r>
      <w:proofErr w:type="spellEnd"/>
      <w:r w:rsidRPr="00BE6C23">
        <w:rPr>
          <w:rFonts w:asciiTheme="majorBidi" w:hAnsiTheme="majorBidi" w:cstheme="majorBidi"/>
          <w:sz w:val="20"/>
          <w:szCs w:val="20"/>
        </w:rPr>
        <w:t>, Abdul Latif. (2013). Comparison of Brain Behavioral and Mental Health Activity in Drug Addicts and Normal People. Journal of Mental Health Principles Volume 13, Number 52, pp. 313-304</w:t>
      </w:r>
    </w:p>
    <w:p w14:paraId="334F823B"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 xml:space="preserve">-Ashrafi, Emad, </w:t>
      </w:r>
      <w:proofErr w:type="spellStart"/>
      <w:r w:rsidRPr="00BE6C23">
        <w:rPr>
          <w:rFonts w:asciiTheme="majorBidi" w:hAnsiTheme="majorBidi" w:cstheme="majorBidi"/>
          <w:sz w:val="20"/>
          <w:szCs w:val="20"/>
        </w:rPr>
        <w:t>Rasoulzadeh</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Tabatabai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Seyed</w:t>
      </w:r>
      <w:proofErr w:type="spellEnd"/>
      <w:r w:rsidRPr="00BE6C23">
        <w:rPr>
          <w:rFonts w:asciiTheme="majorBidi" w:hAnsiTheme="majorBidi" w:cstheme="majorBidi"/>
          <w:sz w:val="20"/>
          <w:szCs w:val="20"/>
        </w:rPr>
        <w:t xml:space="preserve"> Kazem, Azad </w:t>
      </w:r>
      <w:proofErr w:type="spellStart"/>
      <w:r w:rsidRPr="00BE6C23">
        <w:rPr>
          <w:rFonts w:asciiTheme="majorBidi" w:hAnsiTheme="majorBidi" w:cstheme="majorBidi"/>
          <w:sz w:val="20"/>
          <w:szCs w:val="20"/>
        </w:rPr>
        <w:t>Fallah</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Parviz</w:t>
      </w:r>
      <w:proofErr w:type="spellEnd"/>
      <w:r w:rsidRPr="00BE6C23">
        <w:rPr>
          <w:rFonts w:asciiTheme="majorBidi" w:hAnsiTheme="majorBidi" w:cstheme="majorBidi"/>
          <w:sz w:val="20"/>
          <w:szCs w:val="20"/>
        </w:rPr>
        <w:t>. (2008). Factor validity of Gary-Wilson personality questionnaire. Journal of Psychological Sciences, Volume 7, Number 27, pp. 310-326</w:t>
      </w:r>
    </w:p>
    <w:p w14:paraId="0C43D8D8"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Bodaqi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Elaheh</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Hasani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Jafar</w:t>
      </w:r>
      <w:proofErr w:type="spellEnd"/>
      <w:r w:rsidRPr="00BE6C23">
        <w:rPr>
          <w:rFonts w:asciiTheme="majorBidi" w:hAnsiTheme="majorBidi" w:cstheme="majorBidi"/>
          <w:sz w:val="20"/>
          <w:szCs w:val="20"/>
        </w:rPr>
        <w:t>, Moradi, Alireza. (2016). Behavioral Brain Systems Activity in Patients with Eating Disorder, Addiction and Normal Patients. Neuroscience Research Journal, Second Year, Issue 3, Successive 6, pp. 7-24</w:t>
      </w:r>
    </w:p>
    <w:p w14:paraId="21E28DEB"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 xml:space="preserve">-Connor, </w:t>
      </w:r>
      <w:proofErr w:type="gramStart"/>
      <w:r w:rsidRPr="00BE6C23">
        <w:rPr>
          <w:rFonts w:asciiTheme="majorBidi" w:hAnsiTheme="majorBidi" w:cstheme="majorBidi"/>
          <w:sz w:val="20"/>
          <w:szCs w:val="20"/>
        </w:rPr>
        <w:t>K,M</w:t>
      </w:r>
      <w:proofErr w:type="gramEnd"/>
      <w:r w:rsidRPr="00BE6C23">
        <w:rPr>
          <w:rFonts w:asciiTheme="majorBidi" w:hAnsiTheme="majorBidi" w:cstheme="majorBidi"/>
          <w:sz w:val="20"/>
          <w:szCs w:val="20"/>
        </w:rPr>
        <w:t>; Davidson, J. R. T (2003). Development of a New Resilience Scale: The Connor- Davidson Resilience Scale (CD-RISC). Journal of Depression and Anxiety 18: 76- 82 (2003).</w:t>
      </w:r>
    </w:p>
    <w:p w14:paraId="0B6B33BC"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Dissabandara</w:t>
      </w:r>
      <w:proofErr w:type="spellEnd"/>
      <w:r w:rsidRPr="00BE6C23">
        <w:rPr>
          <w:rFonts w:asciiTheme="majorBidi" w:hAnsiTheme="majorBidi" w:cstheme="majorBidi"/>
          <w:sz w:val="20"/>
          <w:szCs w:val="20"/>
        </w:rPr>
        <w:t xml:space="preserve">, L.O.; Loxton, N.J.; </w:t>
      </w:r>
      <w:proofErr w:type="spellStart"/>
      <w:r w:rsidRPr="00BE6C23">
        <w:rPr>
          <w:rFonts w:asciiTheme="majorBidi" w:hAnsiTheme="majorBidi" w:cstheme="majorBidi"/>
          <w:sz w:val="20"/>
          <w:szCs w:val="20"/>
        </w:rPr>
        <w:t>Dias,S.R</w:t>
      </w:r>
      <w:proofErr w:type="spellEnd"/>
      <w:r w:rsidRPr="00BE6C23">
        <w:rPr>
          <w:rFonts w:asciiTheme="majorBidi" w:hAnsiTheme="majorBidi" w:cstheme="majorBidi"/>
          <w:sz w:val="20"/>
          <w:szCs w:val="20"/>
        </w:rPr>
        <w:t xml:space="preserve">.; Dodd, P. R.; </w:t>
      </w:r>
      <w:proofErr w:type="spellStart"/>
      <w:r w:rsidRPr="00BE6C23">
        <w:rPr>
          <w:rFonts w:asciiTheme="majorBidi" w:hAnsiTheme="majorBidi" w:cstheme="majorBidi"/>
          <w:sz w:val="20"/>
          <w:szCs w:val="20"/>
        </w:rPr>
        <w:t>Daglish</w:t>
      </w:r>
      <w:proofErr w:type="spellEnd"/>
      <w:r w:rsidRPr="00BE6C23">
        <w:rPr>
          <w:rFonts w:asciiTheme="majorBidi" w:hAnsiTheme="majorBidi" w:cstheme="majorBidi"/>
          <w:sz w:val="20"/>
          <w:szCs w:val="20"/>
        </w:rPr>
        <w:t>, M. &amp;</w:t>
      </w:r>
      <w:proofErr w:type="spellStart"/>
      <w:r w:rsidRPr="00BE6C23">
        <w:rPr>
          <w:rFonts w:asciiTheme="majorBidi" w:hAnsiTheme="majorBidi" w:cstheme="majorBidi"/>
          <w:sz w:val="20"/>
          <w:szCs w:val="20"/>
        </w:rPr>
        <w:t>Stadlin</w:t>
      </w:r>
      <w:proofErr w:type="spellEnd"/>
      <w:r w:rsidRPr="00BE6C23">
        <w:rPr>
          <w:rFonts w:asciiTheme="majorBidi" w:hAnsiTheme="majorBidi" w:cstheme="majorBidi"/>
          <w:sz w:val="20"/>
          <w:szCs w:val="20"/>
        </w:rPr>
        <w:t xml:space="preserve">, A. (2014). "Dependent heroin use and associated risky </w:t>
      </w:r>
      <w:proofErr w:type="spellStart"/>
      <w:r w:rsidRPr="00BE6C23">
        <w:rPr>
          <w:rFonts w:asciiTheme="majorBidi" w:hAnsiTheme="majorBidi" w:cstheme="majorBidi"/>
          <w:sz w:val="20"/>
          <w:szCs w:val="20"/>
        </w:rPr>
        <w:t>behaviour</w:t>
      </w:r>
      <w:proofErr w:type="spellEnd"/>
      <w:r w:rsidRPr="00BE6C23">
        <w:rPr>
          <w:rFonts w:asciiTheme="majorBidi" w:hAnsiTheme="majorBidi" w:cstheme="majorBidi"/>
          <w:sz w:val="20"/>
          <w:szCs w:val="20"/>
        </w:rPr>
        <w:t>: The role of rash impulsiveness and reward sensitivity". Addictive Behaviors,39(1), 71–76.</w:t>
      </w:r>
    </w:p>
    <w:p w14:paraId="2AAC7217"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Eichen</w:t>
      </w:r>
      <w:proofErr w:type="spellEnd"/>
      <w:r w:rsidRPr="00BE6C23">
        <w:rPr>
          <w:rFonts w:asciiTheme="majorBidi" w:hAnsiTheme="majorBidi" w:cstheme="majorBidi"/>
          <w:sz w:val="20"/>
          <w:szCs w:val="20"/>
        </w:rPr>
        <w:t xml:space="preserve">, D. M.; Chen, E. Y.; Schmitz, M. F.; </w:t>
      </w:r>
      <w:proofErr w:type="spellStart"/>
      <w:r w:rsidRPr="00BE6C23">
        <w:rPr>
          <w:rFonts w:asciiTheme="majorBidi" w:hAnsiTheme="majorBidi" w:cstheme="majorBidi"/>
          <w:sz w:val="20"/>
          <w:szCs w:val="20"/>
        </w:rPr>
        <w:t>Arlt</w:t>
      </w:r>
      <w:proofErr w:type="spellEnd"/>
      <w:r w:rsidRPr="00BE6C23">
        <w:rPr>
          <w:rFonts w:asciiTheme="majorBidi" w:hAnsiTheme="majorBidi" w:cstheme="majorBidi"/>
          <w:sz w:val="20"/>
          <w:szCs w:val="20"/>
        </w:rPr>
        <w:t xml:space="preserve">, J. &amp; McCloskey, M. </w:t>
      </w:r>
      <w:proofErr w:type="gramStart"/>
      <w:r w:rsidRPr="00BE6C23">
        <w:rPr>
          <w:rFonts w:asciiTheme="majorBidi" w:hAnsiTheme="majorBidi" w:cstheme="majorBidi"/>
          <w:sz w:val="20"/>
          <w:szCs w:val="20"/>
        </w:rPr>
        <w:t>S.(</w:t>
      </w:r>
      <w:proofErr w:type="gramEnd"/>
      <w:r w:rsidRPr="00BE6C23">
        <w:rPr>
          <w:rFonts w:asciiTheme="majorBidi" w:hAnsiTheme="majorBidi" w:cstheme="majorBidi"/>
          <w:sz w:val="20"/>
          <w:szCs w:val="20"/>
        </w:rPr>
        <w:t xml:space="preserve">2016). "Addiction vulnerability and binge eating in women: Exploring reward sensitivity, affect regulation, </w:t>
      </w:r>
    </w:p>
    <w:p w14:paraId="34A19813"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 xml:space="preserve">-Fergus, S., &amp; Zimmerman, M. A2005).). </w:t>
      </w:r>
      <w:proofErr w:type="spellStart"/>
      <w:r w:rsidRPr="00BE6C23">
        <w:rPr>
          <w:rFonts w:asciiTheme="majorBidi" w:hAnsiTheme="majorBidi" w:cstheme="majorBidi"/>
          <w:sz w:val="20"/>
          <w:szCs w:val="20"/>
        </w:rPr>
        <w:t>Adulescent</w:t>
      </w:r>
      <w:proofErr w:type="spellEnd"/>
      <w:r w:rsidRPr="00BE6C23">
        <w:rPr>
          <w:rFonts w:asciiTheme="majorBidi" w:hAnsiTheme="majorBidi" w:cstheme="majorBidi"/>
          <w:sz w:val="20"/>
          <w:szCs w:val="20"/>
        </w:rPr>
        <w:t xml:space="preserve"> resilience: A framework for understanding healthy development in the face of risk. Annual Review of Public Health, 26, 399-419.</w:t>
      </w:r>
    </w:p>
    <w:p w14:paraId="3653E1D3"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Hassanzadeh</w:t>
      </w:r>
      <w:proofErr w:type="spellEnd"/>
      <w:r w:rsidRPr="00BE6C23">
        <w:rPr>
          <w:rFonts w:asciiTheme="majorBidi" w:hAnsiTheme="majorBidi" w:cstheme="majorBidi"/>
          <w:sz w:val="20"/>
          <w:szCs w:val="20"/>
        </w:rPr>
        <w:t xml:space="preserve"> I, Maryam, </w:t>
      </w:r>
      <w:proofErr w:type="spellStart"/>
      <w:r w:rsidRPr="00BE6C23">
        <w:rPr>
          <w:rFonts w:asciiTheme="majorBidi" w:hAnsiTheme="majorBidi" w:cstheme="majorBidi"/>
          <w:sz w:val="20"/>
          <w:szCs w:val="20"/>
        </w:rPr>
        <w:t>Mashhadi</w:t>
      </w:r>
      <w:proofErr w:type="spellEnd"/>
      <w:r w:rsidRPr="00BE6C23">
        <w:rPr>
          <w:rFonts w:asciiTheme="majorBidi" w:hAnsiTheme="majorBidi" w:cstheme="majorBidi"/>
          <w:sz w:val="20"/>
          <w:szCs w:val="20"/>
        </w:rPr>
        <w:t xml:space="preserve">, Ali, </w:t>
      </w:r>
      <w:proofErr w:type="spellStart"/>
      <w:r w:rsidRPr="00BE6C23">
        <w:rPr>
          <w:rFonts w:asciiTheme="majorBidi" w:hAnsiTheme="majorBidi" w:cstheme="majorBidi"/>
          <w:sz w:val="20"/>
          <w:szCs w:val="20"/>
        </w:rPr>
        <w:t>Abdollahzadeh</w:t>
      </w:r>
      <w:proofErr w:type="spellEnd"/>
      <w:r w:rsidRPr="00BE6C23">
        <w:rPr>
          <w:rFonts w:asciiTheme="majorBidi" w:hAnsiTheme="majorBidi" w:cstheme="majorBidi"/>
          <w:sz w:val="20"/>
          <w:szCs w:val="20"/>
        </w:rPr>
        <w:t xml:space="preserve"> Rafi, Mehdi. (2017). The effect of individual and social factors differentiating adolescent emotionally distressing from non-resilient. Clinical Psychology Research and Counseling, Eighth Year, No. 2, pp. 23-42.</w:t>
      </w:r>
    </w:p>
    <w:p w14:paraId="4B0B3C16"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lastRenderedPageBreak/>
        <w:t>-</w:t>
      </w:r>
      <w:proofErr w:type="spellStart"/>
      <w:r w:rsidRPr="00BE6C23">
        <w:rPr>
          <w:rFonts w:asciiTheme="majorBidi" w:hAnsiTheme="majorBidi" w:cstheme="majorBidi"/>
          <w:sz w:val="20"/>
          <w:szCs w:val="20"/>
        </w:rPr>
        <w:t>Heydari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Asadollah</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Mohammadi</w:t>
      </w:r>
      <w:proofErr w:type="spellEnd"/>
      <w:r w:rsidRPr="00BE6C23">
        <w:rPr>
          <w:rFonts w:asciiTheme="majorBidi" w:hAnsiTheme="majorBidi" w:cstheme="majorBidi"/>
          <w:sz w:val="20"/>
          <w:szCs w:val="20"/>
        </w:rPr>
        <w:t>, Rozgar, Bahmani, Mahmoud. (2017). The Effectiveness of Motivational Interviews on Reducing Craving and Recurrence in Methadone Abused Patients. Addiction Research Quarterly, Volume 11, Number Forty-Four, pp. 89-104</w:t>
      </w:r>
    </w:p>
    <w:p w14:paraId="090CE911"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Hsaa</w:t>
      </w:r>
      <w:proofErr w:type="spellEnd"/>
      <w:r w:rsidRPr="00BE6C23">
        <w:rPr>
          <w:rFonts w:asciiTheme="majorBidi" w:hAnsiTheme="majorBidi" w:cstheme="majorBidi"/>
          <w:sz w:val="20"/>
          <w:szCs w:val="20"/>
        </w:rPr>
        <w:t>, M., &amp; Graydon, K. (2009). Sources of resiliency among foster youth. Children and Youth, Service Review, 31, 457-463.impulsivity &amp;amp; weight/shape concerns". Personality and Individual Differences, 100: 16-22.</w:t>
      </w:r>
    </w:p>
    <w:p w14:paraId="4F55F92E"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Jamshidi</w:t>
      </w:r>
      <w:proofErr w:type="spellEnd"/>
      <w:r w:rsidRPr="00BE6C23">
        <w:rPr>
          <w:rFonts w:asciiTheme="majorBidi" w:hAnsiTheme="majorBidi" w:cstheme="majorBidi"/>
          <w:sz w:val="20"/>
          <w:szCs w:val="20"/>
        </w:rPr>
        <w:t xml:space="preserve">, Behnam., Hossein Chari, Masood., </w:t>
      </w:r>
      <w:proofErr w:type="spellStart"/>
      <w:r w:rsidRPr="00BE6C23">
        <w:rPr>
          <w:rFonts w:asciiTheme="majorBidi" w:hAnsiTheme="majorBidi" w:cstheme="majorBidi"/>
          <w:sz w:val="20"/>
          <w:szCs w:val="20"/>
        </w:rPr>
        <w:t>Haghighat</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Shahrbano</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Razmi</w:t>
      </w:r>
      <w:proofErr w:type="spellEnd"/>
      <w:r w:rsidRPr="00BE6C23">
        <w:rPr>
          <w:rFonts w:asciiTheme="majorBidi" w:hAnsiTheme="majorBidi" w:cstheme="majorBidi"/>
          <w:sz w:val="20"/>
          <w:szCs w:val="20"/>
        </w:rPr>
        <w:t>, Mohammad Reza (2009). Validation of the new scale of perfectionism. Journal of Behavioral Sciences, Volume 3, Issue 1.</w:t>
      </w:r>
    </w:p>
    <w:p w14:paraId="304548E8"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Kazemi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Mahyari</w:t>
      </w:r>
      <w:proofErr w:type="spellEnd"/>
      <w:r w:rsidRPr="00BE6C23">
        <w:rPr>
          <w:rFonts w:asciiTheme="majorBidi" w:hAnsiTheme="majorBidi" w:cstheme="majorBidi"/>
          <w:sz w:val="20"/>
          <w:szCs w:val="20"/>
        </w:rPr>
        <w:t xml:space="preserve">, Elham, </w:t>
      </w:r>
      <w:proofErr w:type="spellStart"/>
      <w:r w:rsidRPr="00BE6C23">
        <w:rPr>
          <w:rFonts w:asciiTheme="majorBidi" w:hAnsiTheme="majorBidi" w:cstheme="majorBidi"/>
          <w:sz w:val="20"/>
          <w:szCs w:val="20"/>
        </w:rPr>
        <w:t>Mirmahdi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Seyed</w:t>
      </w:r>
      <w:proofErr w:type="spellEnd"/>
      <w:r w:rsidRPr="00BE6C23">
        <w:rPr>
          <w:rFonts w:asciiTheme="majorBidi" w:hAnsiTheme="majorBidi" w:cstheme="majorBidi"/>
          <w:sz w:val="20"/>
          <w:szCs w:val="20"/>
        </w:rPr>
        <w:t xml:space="preserve"> Reza, </w:t>
      </w:r>
      <w:proofErr w:type="spellStart"/>
      <w:r w:rsidRPr="00BE6C23">
        <w:rPr>
          <w:rFonts w:asciiTheme="majorBidi" w:hAnsiTheme="majorBidi" w:cstheme="majorBidi"/>
          <w:sz w:val="20"/>
          <w:szCs w:val="20"/>
        </w:rPr>
        <w:t>Aliassin</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Seyed</w:t>
      </w:r>
      <w:proofErr w:type="spellEnd"/>
      <w:r w:rsidRPr="00BE6C23">
        <w:rPr>
          <w:rFonts w:asciiTheme="majorBidi" w:hAnsiTheme="majorBidi" w:cstheme="majorBidi"/>
          <w:sz w:val="20"/>
          <w:szCs w:val="20"/>
        </w:rPr>
        <w:t xml:space="preserve"> Ali, </w:t>
      </w:r>
      <w:proofErr w:type="spellStart"/>
      <w:r w:rsidRPr="00BE6C23">
        <w:rPr>
          <w:rFonts w:asciiTheme="majorBidi" w:hAnsiTheme="majorBidi" w:cstheme="majorBidi"/>
          <w:sz w:val="20"/>
          <w:szCs w:val="20"/>
        </w:rPr>
        <w:t>Davoodi</w:t>
      </w:r>
      <w:proofErr w:type="spellEnd"/>
      <w:r w:rsidRPr="00BE6C23">
        <w:rPr>
          <w:rFonts w:asciiTheme="majorBidi" w:hAnsiTheme="majorBidi" w:cstheme="majorBidi"/>
          <w:sz w:val="20"/>
          <w:szCs w:val="20"/>
        </w:rPr>
        <w:t>, Hossein. (2017). Resilience in substance-dependent women. Proceedings of the 6th Congress of the Iranian Psychological Association No. 12 Year 1396 pp. 2001-2004</w:t>
      </w:r>
    </w:p>
    <w:p w14:paraId="6D0AB509"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 xml:space="preserve">-Kegler, M. C., Oman, R.F., </w:t>
      </w:r>
      <w:proofErr w:type="spellStart"/>
      <w:r w:rsidRPr="00BE6C23">
        <w:rPr>
          <w:rFonts w:asciiTheme="majorBidi" w:hAnsiTheme="majorBidi" w:cstheme="majorBidi"/>
          <w:sz w:val="20"/>
          <w:szCs w:val="20"/>
        </w:rPr>
        <w:t>Vesley</w:t>
      </w:r>
      <w:proofErr w:type="spellEnd"/>
      <w:r w:rsidRPr="00BE6C23">
        <w:rPr>
          <w:rFonts w:asciiTheme="majorBidi" w:hAnsiTheme="majorBidi" w:cstheme="majorBidi"/>
          <w:sz w:val="20"/>
          <w:szCs w:val="20"/>
        </w:rPr>
        <w:t xml:space="preserve">, S. K., </w:t>
      </w:r>
      <w:proofErr w:type="spellStart"/>
      <w:r w:rsidRPr="00BE6C23">
        <w:rPr>
          <w:rFonts w:asciiTheme="majorBidi" w:hAnsiTheme="majorBidi" w:cstheme="majorBidi"/>
          <w:sz w:val="20"/>
          <w:szCs w:val="20"/>
        </w:rPr>
        <w:t>Macleory</w:t>
      </w:r>
      <w:proofErr w:type="spellEnd"/>
      <w:r w:rsidRPr="00BE6C23">
        <w:rPr>
          <w:rFonts w:asciiTheme="majorBidi" w:hAnsiTheme="majorBidi" w:cstheme="majorBidi"/>
          <w:sz w:val="20"/>
          <w:szCs w:val="20"/>
        </w:rPr>
        <w:t xml:space="preserve">, K. R, </w:t>
      </w:r>
      <w:proofErr w:type="spellStart"/>
      <w:r w:rsidRPr="00BE6C23">
        <w:rPr>
          <w:rFonts w:asciiTheme="majorBidi" w:hAnsiTheme="majorBidi" w:cstheme="majorBidi"/>
          <w:sz w:val="20"/>
          <w:szCs w:val="20"/>
        </w:rPr>
        <w:t>Aspy</w:t>
      </w:r>
      <w:proofErr w:type="spellEnd"/>
      <w:r w:rsidRPr="00BE6C23">
        <w:rPr>
          <w:rFonts w:asciiTheme="majorBidi" w:hAnsiTheme="majorBidi" w:cstheme="majorBidi"/>
          <w:sz w:val="20"/>
          <w:szCs w:val="20"/>
        </w:rPr>
        <w:t xml:space="preserve">, C. B., </w:t>
      </w:r>
      <w:proofErr w:type="spellStart"/>
      <w:r w:rsidRPr="00BE6C23">
        <w:rPr>
          <w:rFonts w:asciiTheme="majorBidi" w:hAnsiTheme="majorBidi" w:cstheme="majorBidi"/>
          <w:sz w:val="20"/>
          <w:szCs w:val="20"/>
        </w:rPr>
        <w:t>Rodine</w:t>
      </w:r>
      <w:proofErr w:type="spellEnd"/>
      <w:r w:rsidRPr="00BE6C23">
        <w:rPr>
          <w:rFonts w:asciiTheme="majorBidi" w:hAnsiTheme="majorBidi" w:cstheme="majorBidi"/>
          <w:sz w:val="20"/>
          <w:szCs w:val="20"/>
        </w:rPr>
        <w:t xml:space="preserve">, S., &amp; Marshall, L.(2005). Relationship among youth assets, neighborhood, and community </w:t>
      </w:r>
      <w:proofErr w:type="spellStart"/>
      <w:r w:rsidRPr="00BE6C23">
        <w:rPr>
          <w:rFonts w:asciiTheme="majorBidi" w:hAnsiTheme="majorBidi" w:cstheme="majorBidi"/>
          <w:sz w:val="20"/>
          <w:szCs w:val="20"/>
        </w:rPr>
        <w:t>reseources</w:t>
      </w:r>
      <w:proofErr w:type="spellEnd"/>
      <w:r w:rsidRPr="00BE6C23">
        <w:rPr>
          <w:rFonts w:asciiTheme="majorBidi" w:hAnsiTheme="majorBidi" w:cstheme="majorBidi"/>
          <w:sz w:val="20"/>
          <w:szCs w:val="20"/>
        </w:rPr>
        <w:t>. Health Education &amp; Behavior, 32(3).</w:t>
      </w:r>
    </w:p>
    <w:p w14:paraId="4ED0026B"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Khandari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Arash</w:t>
      </w:r>
      <w:proofErr w:type="spellEnd"/>
      <w:r w:rsidRPr="00BE6C23">
        <w:rPr>
          <w:rFonts w:asciiTheme="majorBidi" w:hAnsiTheme="majorBidi" w:cstheme="majorBidi"/>
          <w:sz w:val="20"/>
          <w:szCs w:val="20"/>
        </w:rPr>
        <w:t xml:space="preserve">, Peasant, </w:t>
      </w:r>
      <w:proofErr w:type="spellStart"/>
      <w:r w:rsidRPr="00BE6C23">
        <w:rPr>
          <w:rFonts w:asciiTheme="majorBidi" w:hAnsiTheme="majorBidi" w:cstheme="majorBidi"/>
          <w:sz w:val="20"/>
          <w:szCs w:val="20"/>
        </w:rPr>
        <w:t>Akram</w:t>
      </w:r>
      <w:proofErr w:type="spellEnd"/>
      <w:r w:rsidRPr="00BE6C23">
        <w:rPr>
          <w:rFonts w:asciiTheme="majorBidi" w:hAnsiTheme="majorBidi" w:cstheme="majorBidi"/>
          <w:sz w:val="20"/>
          <w:szCs w:val="20"/>
        </w:rPr>
        <w:t>. (2017). The Effectiveness of Group Schema Therapy on Metacognitive Beliefs and Methadone Dose Reduction in Methadone Treated Men. Addiction Research Quarterly, Volume 11, Issue 46, pp. 169-186.</w:t>
      </w:r>
    </w:p>
    <w:p w14:paraId="1CF9AF4B"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 xml:space="preserve">-Kim-Spoon, J.; </w:t>
      </w:r>
      <w:proofErr w:type="spellStart"/>
      <w:r w:rsidRPr="00BE6C23">
        <w:rPr>
          <w:rFonts w:asciiTheme="majorBidi" w:hAnsiTheme="majorBidi" w:cstheme="majorBidi"/>
          <w:sz w:val="20"/>
          <w:szCs w:val="20"/>
        </w:rPr>
        <w:t>Deater</w:t>
      </w:r>
      <w:proofErr w:type="spellEnd"/>
      <w:r w:rsidRPr="00BE6C23">
        <w:rPr>
          <w:rFonts w:asciiTheme="majorBidi" w:hAnsiTheme="majorBidi" w:cstheme="majorBidi"/>
          <w:sz w:val="20"/>
          <w:szCs w:val="20"/>
        </w:rPr>
        <w:t xml:space="preserve">-Deckard, K.; Holmes, C.; Lee, J.; Chiu, P. &amp; King-Casas, B. (2016). "Behavioral and neural inhibitory control moderates the effects of reward sensitivity on adolescent substance use". </w:t>
      </w:r>
      <w:proofErr w:type="spellStart"/>
      <w:r w:rsidRPr="00BE6C23">
        <w:rPr>
          <w:rFonts w:asciiTheme="majorBidi" w:hAnsiTheme="majorBidi" w:cstheme="majorBidi"/>
          <w:sz w:val="20"/>
          <w:szCs w:val="20"/>
        </w:rPr>
        <w:t>Neuropsychologia</w:t>
      </w:r>
      <w:proofErr w:type="spellEnd"/>
      <w:r w:rsidRPr="00BE6C23">
        <w:rPr>
          <w:rFonts w:asciiTheme="majorBidi" w:hAnsiTheme="majorBidi" w:cstheme="majorBidi"/>
          <w:sz w:val="20"/>
          <w:szCs w:val="20"/>
        </w:rPr>
        <w:t>, 91, 318-326.</w:t>
      </w:r>
    </w:p>
    <w:p w14:paraId="31C6A3B8"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 xml:space="preserve">-M, </w:t>
      </w:r>
      <w:proofErr w:type="spellStart"/>
      <w:r w:rsidRPr="00BE6C23">
        <w:rPr>
          <w:rFonts w:asciiTheme="majorBidi" w:hAnsiTheme="majorBidi" w:cstheme="majorBidi"/>
          <w:sz w:val="20"/>
          <w:szCs w:val="20"/>
        </w:rPr>
        <w:t>Farrokhi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Maysam</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Shahbazi</w:t>
      </w:r>
      <w:proofErr w:type="spellEnd"/>
      <w:r w:rsidRPr="00BE6C23">
        <w:rPr>
          <w:rFonts w:asciiTheme="majorBidi" w:hAnsiTheme="majorBidi" w:cstheme="majorBidi"/>
          <w:sz w:val="20"/>
          <w:szCs w:val="20"/>
        </w:rPr>
        <w:t>, Amin. (2017). Qualitative Study of Marijuana Addiction Life Experience among Students of Tehran, Iranian Social Problems, Volume 8, Number 2, pp. 237-258</w:t>
      </w:r>
    </w:p>
    <w:p w14:paraId="2C838AA9"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 xml:space="preserve">-Milton, A. L. &amp; </w:t>
      </w:r>
      <w:proofErr w:type="spellStart"/>
      <w:r w:rsidRPr="00BE6C23">
        <w:rPr>
          <w:rFonts w:asciiTheme="majorBidi" w:hAnsiTheme="majorBidi" w:cstheme="majorBidi"/>
          <w:sz w:val="20"/>
          <w:szCs w:val="20"/>
        </w:rPr>
        <w:t>Everitt</w:t>
      </w:r>
      <w:proofErr w:type="spellEnd"/>
      <w:r w:rsidRPr="00BE6C23">
        <w:rPr>
          <w:rFonts w:asciiTheme="majorBidi" w:hAnsiTheme="majorBidi" w:cstheme="majorBidi"/>
          <w:sz w:val="20"/>
          <w:szCs w:val="20"/>
        </w:rPr>
        <w:t>, B. J. (2012). "The persistence of maladaptive memory: Addiction, drug memories and anti-relapse treatments". Neuroscience &amp; Biobehavioral Reviews, 36(4), 1119-1139.</w:t>
      </w:r>
    </w:p>
    <w:p w14:paraId="4D6B2D71"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Modan</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Fard</w:t>
      </w:r>
      <w:proofErr w:type="spellEnd"/>
      <w:r w:rsidRPr="00BE6C23">
        <w:rPr>
          <w:rFonts w:asciiTheme="majorBidi" w:hAnsiTheme="majorBidi" w:cstheme="majorBidi"/>
          <w:sz w:val="20"/>
          <w:szCs w:val="20"/>
        </w:rPr>
        <w:t xml:space="preserve">, Mehdi, </w:t>
      </w:r>
      <w:proofErr w:type="spellStart"/>
      <w:r w:rsidRPr="00BE6C23">
        <w:rPr>
          <w:rFonts w:asciiTheme="majorBidi" w:hAnsiTheme="majorBidi" w:cstheme="majorBidi"/>
          <w:sz w:val="20"/>
          <w:szCs w:val="20"/>
        </w:rPr>
        <w:t>Mazaheri</w:t>
      </w:r>
      <w:proofErr w:type="spellEnd"/>
      <w:r w:rsidRPr="00BE6C23">
        <w:rPr>
          <w:rFonts w:asciiTheme="majorBidi" w:hAnsiTheme="majorBidi" w:cstheme="majorBidi"/>
          <w:sz w:val="20"/>
          <w:szCs w:val="20"/>
        </w:rPr>
        <w:t xml:space="preserve">, Mehrdad, </w:t>
      </w:r>
      <w:proofErr w:type="spellStart"/>
      <w:r w:rsidRPr="00BE6C23">
        <w:rPr>
          <w:rFonts w:asciiTheme="majorBidi" w:hAnsiTheme="majorBidi" w:cstheme="majorBidi"/>
          <w:sz w:val="20"/>
          <w:szCs w:val="20"/>
        </w:rPr>
        <w:t>Bigdeli</w:t>
      </w:r>
      <w:proofErr w:type="spellEnd"/>
      <w:r w:rsidRPr="00BE6C23">
        <w:rPr>
          <w:rFonts w:asciiTheme="majorBidi" w:hAnsiTheme="majorBidi" w:cstheme="majorBidi"/>
          <w:sz w:val="20"/>
          <w:szCs w:val="20"/>
        </w:rPr>
        <w:t>, Iman Allah. (2018). Evaluation of Neurological and Emotional Functions in Methadone and Buprenorphine Addicts. Khatam Healing Magazine, Volume 6, Issue 3, pp. 25-34</w:t>
      </w:r>
    </w:p>
    <w:p w14:paraId="23BB1CCC"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Mohammadi</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Massoud</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Jazayeri</w:t>
      </w:r>
      <w:proofErr w:type="spellEnd"/>
      <w:r w:rsidRPr="00BE6C23">
        <w:rPr>
          <w:rFonts w:asciiTheme="majorBidi" w:hAnsiTheme="majorBidi" w:cstheme="majorBidi"/>
          <w:sz w:val="20"/>
          <w:szCs w:val="20"/>
        </w:rPr>
        <w:t xml:space="preserve">, Alireza, </w:t>
      </w:r>
      <w:proofErr w:type="spellStart"/>
      <w:r w:rsidRPr="00BE6C23">
        <w:rPr>
          <w:rFonts w:asciiTheme="majorBidi" w:hAnsiTheme="majorBidi" w:cstheme="majorBidi"/>
          <w:sz w:val="20"/>
          <w:szCs w:val="20"/>
        </w:rPr>
        <w:t>Rafiei</w:t>
      </w:r>
      <w:proofErr w:type="spellEnd"/>
      <w:r w:rsidRPr="00BE6C23">
        <w:rPr>
          <w:rFonts w:asciiTheme="majorBidi" w:hAnsiTheme="majorBidi" w:cstheme="majorBidi"/>
          <w:sz w:val="20"/>
          <w:szCs w:val="20"/>
        </w:rPr>
        <w:t xml:space="preserve">, Amir Hassan, </w:t>
      </w:r>
      <w:proofErr w:type="spellStart"/>
      <w:r w:rsidRPr="00BE6C23">
        <w:rPr>
          <w:rFonts w:asciiTheme="majorBidi" w:hAnsiTheme="majorBidi" w:cstheme="majorBidi"/>
          <w:sz w:val="20"/>
          <w:szCs w:val="20"/>
        </w:rPr>
        <w:t>Jokar</w:t>
      </w:r>
      <w:proofErr w:type="spellEnd"/>
      <w:r w:rsidRPr="00BE6C23">
        <w:rPr>
          <w:rFonts w:asciiTheme="majorBidi" w:hAnsiTheme="majorBidi" w:cstheme="majorBidi"/>
          <w:sz w:val="20"/>
          <w:szCs w:val="20"/>
        </w:rPr>
        <w:t>, Bahram, Porsche Shahbaz, Abbas. (2006). Investigating resilience factors in people at risk of drug abuse. Journal of Psychology, University of Tabriz First Year, Nos 2 and 3, pp. 193-214</w:t>
      </w:r>
    </w:p>
    <w:p w14:paraId="5C4C824B"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Rahiman</w:t>
      </w:r>
      <w:proofErr w:type="spellEnd"/>
      <w:r w:rsidRPr="00BE6C23">
        <w:rPr>
          <w:rFonts w:asciiTheme="majorBidi" w:hAnsiTheme="majorBidi" w:cstheme="majorBidi"/>
          <w:sz w:val="20"/>
          <w:szCs w:val="20"/>
        </w:rPr>
        <w:t xml:space="preserve"> </w:t>
      </w:r>
      <w:proofErr w:type="spellStart"/>
      <w:r w:rsidRPr="00BE6C23">
        <w:rPr>
          <w:rFonts w:asciiTheme="majorBidi" w:hAnsiTheme="majorBidi" w:cstheme="majorBidi"/>
          <w:sz w:val="20"/>
          <w:szCs w:val="20"/>
        </w:rPr>
        <w:t>Bougar</w:t>
      </w:r>
      <w:proofErr w:type="spellEnd"/>
      <w:r w:rsidRPr="00BE6C23">
        <w:rPr>
          <w:rFonts w:asciiTheme="majorBidi" w:hAnsiTheme="majorBidi" w:cstheme="majorBidi"/>
          <w:sz w:val="20"/>
          <w:szCs w:val="20"/>
        </w:rPr>
        <w:t xml:space="preserve">, Isaac; </w:t>
      </w:r>
      <w:proofErr w:type="spellStart"/>
      <w:r w:rsidRPr="00BE6C23">
        <w:rPr>
          <w:rFonts w:asciiTheme="majorBidi" w:hAnsiTheme="majorBidi" w:cstheme="majorBidi"/>
          <w:sz w:val="20"/>
          <w:szCs w:val="20"/>
        </w:rPr>
        <w:t>Asgharnejad</w:t>
      </w:r>
      <w:proofErr w:type="spellEnd"/>
      <w:r w:rsidRPr="00BE6C23">
        <w:rPr>
          <w:rFonts w:asciiTheme="majorBidi" w:hAnsiTheme="majorBidi" w:cstheme="majorBidi"/>
          <w:sz w:val="20"/>
          <w:szCs w:val="20"/>
        </w:rPr>
        <w:t xml:space="preserve"> Farid, Ali Asghar (1). The Relationship between Psychological Hardiness and Self-Determination with Mental Health in Youth and Adult Survivors of the Bam Earthquake. Iranian Journal of Psychiatry and Clinical Psychology, Fourteenth Year, Number 2, Spring 2, pp. 2-1</w:t>
      </w:r>
    </w:p>
    <w:p w14:paraId="7E2F5C52"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Samani</w:t>
      </w:r>
      <w:proofErr w:type="spellEnd"/>
      <w:r w:rsidRPr="00BE6C23">
        <w:rPr>
          <w:rFonts w:asciiTheme="majorBidi" w:hAnsiTheme="majorBidi" w:cstheme="majorBidi"/>
          <w:sz w:val="20"/>
          <w:szCs w:val="20"/>
        </w:rPr>
        <w:t xml:space="preserve"> S, </w:t>
      </w:r>
      <w:proofErr w:type="spellStart"/>
      <w:r w:rsidRPr="00BE6C23">
        <w:rPr>
          <w:rFonts w:asciiTheme="majorBidi" w:hAnsiTheme="majorBidi" w:cstheme="majorBidi"/>
          <w:sz w:val="20"/>
          <w:szCs w:val="20"/>
        </w:rPr>
        <w:t>Jokar</w:t>
      </w:r>
      <w:proofErr w:type="spellEnd"/>
      <w:r w:rsidRPr="00BE6C23">
        <w:rPr>
          <w:rFonts w:asciiTheme="majorBidi" w:hAnsiTheme="majorBidi" w:cstheme="majorBidi"/>
          <w:sz w:val="20"/>
          <w:szCs w:val="20"/>
        </w:rPr>
        <w:t xml:space="preserve"> B, </w:t>
      </w:r>
      <w:proofErr w:type="spellStart"/>
      <w:r w:rsidRPr="00BE6C23">
        <w:rPr>
          <w:rFonts w:asciiTheme="majorBidi" w:hAnsiTheme="majorBidi" w:cstheme="majorBidi"/>
          <w:sz w:val="20"/>
          <w:szCs w:val="20"/>
        </w:rPr>
        <w:t>Sahragard</w:t>
      </w:r>
      <w:proofErr w:type="spellEnd"/>
      <w:r w:rsidRPr="00BE6C23">
        <w:rPr>
          <w:rFonts w:asciiTheme="majorBidi" w:hAnsiTheme="majorBidi" w:cstheme="majorBidi"/>
          <w:sz w:val="20"/>
          <w:szCs w:val="20"/>
        </w:rPr>
        <w:t xml:space="preserve"> N. Resiliency, mental health and life satisfaction. Journal of Psychiatry and Clinical Psychology, 2006; 3(3): 290-</w:t>
      </w:r>
      <w:proofErr w:type="gramStart"/>
      <w:r w:rsidRPr="00BE6C23">
        <w:rPr>
          <w:rFonts w:asciiTheme="majorBidi" w:hAnsiTheme="majorBidi" w:cstheme="majorBidi"/>
          <w:sz w:val="20"/>
          <w:szCs w:val="20"/>
        </w:rPr>
        <w:t>295.(</w:t>
      </w:r>
      <w:proofErr w:type="gramEnd"/>
      <w:r w:rsidRPr="00BE6C23">
        <w:rPr>
          <w:rFonts w:asciiTheme="majorBidi" w:hAnsiTheme="majorBidi" w:cstheme="majorBidi"/>
          <w:sz w:val="20"/>
          <w:szCs w:val="20"/>
        </w:rPr>
        <w:t>Persian).</w:t>
      </w:r>
    </w:p>
    <w:p w14:paraId="79F5B743"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Shareh</w:t>
      </w:r>
      <w:proofErr w:type="spellEnd"/>
      <w:r w:rsidRPr="00BE6C23">
        <w:rPr>
          <w:rFonts w:asciiTheme="majorBidi" w:hAnsiTheme="majorBidi" w:cstheme="majorBidi"/>
          <w:sz w:val="20"/>
          <w:szCs w:val="20"/>
        </w:rPr>
        <w:t xml:space="preserve">, Hussein, </w:t>
      </w:r>
      <w:proofErr w:type="spellStart"/>
      <w:r w:rsidRPr="00BE6C23">
        <w:rPr>
          <w:rFonts w:asciiTheme="majorBidi" w:hAnsiTheme="majorBidi" w:cstheme="majorBidi"/>
          <w:sz w:val="20"/>
          <w:szCs w:val="20"/>
        </w:rPr>
        <w:t>Alimardani</w:t>
      </w:r>
      <w:proofErr w:type="spellEnd"/>
      <w:r w:rsidRPr="00BE6C23">
        <w:rPr>
          <w:rFonts w:asciiTheme="majorBidi" w:hAnsiTheme="majorBidi" w:cstheme="majorBidi"/>
          <w:sz w:val="20"/>
          <w:szCs w:val="20"/>
        </w:rPr>
        <w:t>, Abdul Latif. (2013). Brain-behavioral systems, metacognitive beliefs, and thought-control strategies in patients with obsessive-compulsive disorder. Journal of Clinical Psychology, Fifth Year, Issue 3, 19, pp. 11-22</w:t>
      </w:r>
    </w:p>
    <w:p w14:paraId="628480BF" w14:textId="77777777" w:rsidR="00BE6C23" w:rsidRP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Shirinzadeh</w:t>
      </w:r>
      <w:proofErr w:type="spellEnd"/>
      <w:r w:rsidRPr="00BE6C23">
        <w:rPr>
          <w:rFonts w:asciiTheme="majorBidi" w:hAnsiTheme="majorBidi" w:cstheme="majorBidi"/>
          <w:sz w:val="20"/>
          <w:szCs w:val="20"/>
        </w:rPr>
        <w:t>, S. (2006). Comparison of metacognitive beliefs and responsibility in patients with obsessive-compulsive disorder, general anxiety, and normal individuals. M.Sc. of Shiraz University. Faculty of Clinical Psychology.</w:t>
      </w:r>
    </w:p>
    <w:p w14:paraId="104BFF86"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-Wells A, Matthews G. (1994). Attention and emotion. A clinical perspective. Hove, UK: Erlbaum.</w:t>
      </w:r>
    </w:p>
    <w:p w14:paraId="4E966CE1" w14:textId="77777777" w:rsidR="00BE6C23" w:rsidRPr="00BE6C23" w:rsidRDefault="00BE6C23" w:rsidP="00BE6C23">
      <w:pPr>
        <w:spacing w:after="0" w:line="240" w:lineRule="auto"/>
        <w:rPr>
          <w:rFonts w:asciiTheme="majorBidi" w:hAnsiTheme="majorBidi" w:cstheme="majorBidi"/>
          <w:sz w:val="20"/>
          <w:szCs w:val="20"/>
        </w:rPr>
      </w:pPr>
      <w:r w:rsidRPr="00BE6C23">
        <w:rPr>
          <w:rFonts w:asciiTheme="majorBidi" w:hAnsiTheme="majorBidi" w:cstheme="majorBidi"/>
          <w:sz w:val="20"/>
          <w:szCs w:val="20"/>
        </w:rPr>
        <w:t>-Wells, A., Cartwright-Hatton, S. (2004)." A Short form of the Metacognitions Questionnaire: Properties of the MCQ-30", Behavior and Therapy, 42, 4, 385-396.</w:t>
      </w:r>
    </w:p>
    <w:p w14:paraId="7BDBCC3A" w14:textId="442C8313" w:rsidR="00BE6C23" w:rsidRDefault="00BE6C23" w:rsidP="00BE6C23">
      <w:pPr>
        <w:spacing w:after="0" w:line="240" w:lineRule="auto"/>
        <w:jc w:val="both"/>
        <w:rPr>
          <w:rFonts w:asciiTheme="majorBidi" w:hAnsiTheme="majorBidi" w:cstheme="majorBidi"/>
          <w:sz w:val="20"/>
          <w:szCs w:val="20"/>
        </w:rPr>
      </w:pPr>
      <w:r w:rsidRPr="00BE6C23">
        <w:rPr>
          <w:rFonts w:asciiTheme="majorBidi" w:hAnsiTheme="majorBidi" w:cstheme="majorBidi"/>
          <w:sz w:val="20"/>
          <w:szCs w:val="20"/>
        </w:rPr>
        <w:t>-</w:t>
      </w:r>
      <w:proofErr w:type="spellStart"/>
      <w:r w:rsidRPr="00BE6C23">
        <w:rPr>
          <w:rFonts w:asciiTheme="majorBidi" w:hAnsiTheme="majorBidi" w:cstheme="majorBidi"/>
          <w:sz w:val="20"/>
          <w:szCs w:val="20"/>
        </w:rPr>
        <w:t>Zare</w:t>
      </w:r>
      <w:proofErr w:type="spellEnd"/>
      <w:r w:rsidRPr="00BE6C23">
        <w:rPr>
          <w:rFonts w:asciiTheme="majorBidi" w:hAnsiTheme="majorBidi" w:cstheme="majorBidi"/>
          <w:sz w:val="20"/>
          <w:szCs w:val="20"/>
        </w:rPr>
        <w:t xml:space="preserve">, Hussein, Sharifi Saki, </w:t>
      </w:r>
      <w:proofErr w:type="spellStart"/>
      <w:r w:rsidRPr="00BE6C23">
        <w:rPr>
          <w:rFonts w:asciiTheme="majorBidi" w:hAnsiTheme="majorBidi" w:cstheme="majorBidi"/>
          <w:sz w:val="20"/>
          <w:szCs w:val="20"/>
        </w:rPr>
        <w:t>Sheida</w:t>
      </w:r>
      <w:proofErr w:type="spellEnd"/>
      <w:r w:rsidRPr="00BE6C23">
        <w:rPr>
          <w:rFonts w:asciiTheme="majorBidi" w:hAnsiTheme="majorBidi" w:cstheme="majorBidi"/>
          <w:sz w:val="20"/>
          <w:szCs w:val="20"/>
        </w:rPr>
        <w:t>. (2015). The Effect of Wells' Metacognitive Intervention Program on Mindfulness Control Strategies in Addicts with Substance Abuse. Journal of Cognitive Psychology, Volume 2, Number 3, pp. 49-58</w:t>
      </w:r>
    </w:p>
    <w:p w14:paraId="7DC10722" w14:textId="1795D10F" w:rsidR="00BE6C23" w:rsidRPr="00BB25EC" w:rsidRDefault="00BE6C23" w:rsidP="00BE6C23">
      <w:pPr>
        <w:spacing w:after="0" w:line="240" w:lineRule="auto"/>
        <w:jc w:val="both"/>
        <w:rPr>
          <w:rFonts w:asciiTheme="majorBidi" w:hAnsiTheme="majorBidi" w:cstheme="majorBidi"/>
          <w:b/>
          <w:bCs/>
          <w:sz w:val="20"/>
          <w:szCs w:val="20"/>
        </w:rPr>
      </w:pPr>
      <w:r w:rsidRPr="00BB25EC">
        <w:rPr>
          <w:rFonts w:asciiTheme="majorBidi" w:hAnsiTheme="majorBidi" w:cstheme="majorBidi"/>
          <w:b/>
          <w:bCs/>
          <w:sz w:val="20"/>
          <w:szCs w:val="20"/>
        </w:rPr>
        <w:t>IV. Biography:</w:t>
      </w:r>
    </w:p>
    <w:p w14:paraId="6981EAF0" w14:textId="769FB43C" w:rsidR="00BE6C23" w:rsidRPr="00BB25EC" w:rsidRDefault="00E45A10" w:rsidP="00BE6C23">
      <w:pPr>
        <w:spacing w:after="0" w:line="240" w:lineRule="auto"/>
        <w:jc w:val="both"/>
        <w:rPr>
          <w:rFonts w:asciiTheme="majorBidi" w:hAnsiTheme="majorBidi" w:cstheme="majorBidi"/>
        </w:rPr>
      </w:pPr>
      <w:r w:rsidRPr="00BB25EC">
        <w:rPr>
          <w:rFonts w:asciiTheme="majorBidi" w:hAnsiTheme="majorBidi" w:cstheme="majorBidi"/>
        </w:rPr>
        <w:t>Dr. Mehdi</w:t>
      </w:r>
      <w:r w:rsidR="00BE6C23" w:rsidRPr="00BB25EC">
        <w:rPr>
          <w:rFonts w:asciiTheme="majorBidi" w:hAnsiTheme="majorBidi" w:cstheme="majorBidi"/>
        </w:rPr>
        <w:t xml:space="preserve"> Dehestani has completed his PhD at the age of </w:t>
      </w:r>
      <w:r w:rsidR="00D00613" w:rsidRPr="00BB25EC">
        <w:rPr>
          <w:rFonts w:asciiTheme="majorBidi" w:hAnsiTheme="majorBidi" w:cstheme="majorBidi"/>
        </w:rPr>
        <w:t>40</w:t>
      </w:r>
      <w:r w:rsidRPr="00BB25EC">
        <w:rPr>
          <w:rFonts w:asciiTheme="majorBidi" w:hAnsiTheme="majorBidi" w:cstheme="majorBidi"/>
        </w:rPr>
        <w:t>……</w:t>
      </w:r>
      <w:r w:rsidR="00BE6C23" w:rsidRPr="00BB25EC">
        <w:rPr>
          <w:rFonts w:asciiTheme="majorBidi" w:hAnsiTheme="majorBidi" w:cstheme="majorBidi"/>
        </w:rPr>
        <w:t xml:space="preserve"> years from </w:t>
      </w:r>
      <w:r w:rsidR="00BB25EC" w:rsidRPr="00BB25EC">
        <w:rPr>
          <w:rFonts w:asciiTheme="majorBidi" w:hAnsiTheme="majorBidi" w:cstheme="majorBidi"/>
        </w:rPr>
        <w:t xml:space="preserve">Panjab. </w:t>
      </w:r>
      <w:r w:rsidR="00BE6C23" w:rsidRPr="00BB25EC">
        <w:rPr>
          <w:rFonts w:asciiTheme="majorBidi" w:hAnsiTheme="majorBidi" w:cstheme="majorBidi"/>
        </w:rPr>
        <w:t xml:space="preserve">He has published more than </w:t>
      </w:r>
      <w:r w:rsidR="00D00613" w:rsidRPr="00BB25EC">
        <w:rPr>
          <w:rFonts w:asciiTheme="majorBidi" w:hAnsiTheme="majorBidi" w:cstheme="majorBidi"/>
        </w:rPr>
        <w:t>45</w:t>
      </w:r>
      <w:r w:rsidR="00BE6C23" w:rsidRPr="00BB25EC">
        <w:rPr>
          <w:rFonts w:asciiTheme="majorBidi" w:hAnsiTheme="majorBidi" w:cstheme="majorBidi"/>
        </w:rPr>
        <w:t xml:space="preserve"> papers in reputed journals and has been serving as an editorial board member of repute.</w:t>
      </w:r>
      <w:r w:rsidR="00D00613" w:rsidRPr="00BB25EC">
        <w:rPr>
          <w:rFonts w:asciiTheme="majorBidi" w:hAnsiTheme="majorBidi" w:cstheme="majorBidi"/>
        </w:rPr>
        <w:t>;</w:t>
      </w:r>
    </w:p>
    <w:p w14:paraId="6ED97EE1" w14:textId="77777777" w:rsidR="00D00613" w:rsidRDefault="00D00613" w:rsidP="00BE6C23">
      <w:pPr>
        <w:spacing w:after="0" w:line="240" w:lineRule="auto"/>
        <w:jc w:val="both"/>
        <w:rPr>
          <w:rFonts w:asciiTheme="majorBidi" w:hAnsiTheme="majorBidi" w:cstheme="majorBidi"/>
          <w:highlight w:val="yellow"/>
        </w:rPr>
      </w:pPr>
    </w:p>
    <w:p w14:paraId="788F86DD" w14:textId="77777777" w:rsidR="00D00613" w:rsidRPr="00D00613" w:rsidRDefault="00D00613" w:rsidP="00D00613">
      <w:pPr>
        <w:spacing w:after="0" w:line="240" w:lineRule="auto"/>
        <w:jc w:val="both"/>
        <w:rPr>
          <w:rFonts w:asciiTheme="majorBidi" w:hAnsiTheme="majorBidi" w:cstheme="majorBidi"/>
        </w:rPr>
      </w:pPr>
      <w:r w:rsidRPr="00D00613">
        <w:rPr>
          <w:rFonts w:asciiTheme="majorBidi" w:hAnsiTheme="majorBidi" w:cstheme="majorBidi"/>
        </w:rPr>
        <w:t>1-Iranian journal of health psychology</w:t>
      </w:r>
    </w:p>
    <w:p w14:paraId="3535D122" w14:textId="77777777" w:rsidR="00D00613" w:rsidRPr="00D00613" w:rsidRDefault="00D00613" w:rsidP="00D00613">
      <w:pPr>
        <w:spacing w:after="0" w:line="240" w:lineRule="auto"/>
        <w:jc w:val="both"/>
        <w:rPr>
          <w:rFonts w:asciiTheme="majorBidi" w:hAnsiTheme="majorBidi" w:cstheme="majorBidi"/>
        </w:rPr>
      </w:pPr>
      <w:r w:rsidRPr="00D00613">
        <w:rPr>
          <w:rFonts w:asciiTheme="majorBidi" w:hAnsiTheme="majorBidi" w:cstheme="majorBidi"/>
        </w:rPr>
        <w:t>2-International journal of psychiatry</w:t>
      </w:r>
    </w:p>
    <w:p w14:paraId="6CA4E123" w14:textId="77777777" w:rsidR="00D00613" w:rsidRPr="00D00613" w:rsidRDefault="00D00613" w:rsidP="00D00613">
      <w:pPr>
        <w:spacing w:after="0" w:line="240" w:lineRule="auto"/>
        <w:jc w:val="both"/>
        <w:rPr>
          <w:rFonts w:asciiTheme="majorBidi" w:hAnsiTheme="majorBidi" w:cstheme="majorBidi"/>
        </w:rPr>
      </w:pPr>
      <w:r w:rsidRPr="00D00613">
        <w:rPr>
          <w:rFonts w:asciiTheme="majorBidi" w:hAnsiTheme="majorBidi" w:cstheme="majorBidi"/>
        </w:rPr>
        <w:t>3-Journal of Acta Scientific</w:t>
      </w:r>
    </w:p>
    <w:p w14:paraId="28E55DF3" w14:textId="0C5DE91D" w:rsidR="00D00613" w:rsidRPr="003E5D92" w:rsidRDefault="00D00613" w:rsidP="00D00613">
      <w:pPr>
        <w:spacing w:after="0" w:line="240" w:lineRule="auto"/>
        <w:jc w:val="both"/>
        <w:rPr>
          <w:rFonts w:asciiTheme="majorBidi" w:hAnsiTheme="majorBidi" w:cstheme="majorBidi"/>
          <w:highlight w:val="yellow"/>
        </w:rPr>
      </w:pPr>
      <w:r w:rsidRPr="00D00613">
        <w:rPr>
          <w:rFonts w:asciiTheme="majorBidi" w:hAnsiTheme="majorBidi" w:cstheme="majorBidi"/>
        </w:rPr>
        <w:t>4- Current Research in Psychology and Behavioural Science (CRPBS)</w:t>
      </w:r>
    </w:p>
    <w:p w14:paraId="6EAF972D" w14:textId="61479042" w:rsidR="00E45A10" w:rsidRPr="003E5D92" w:rsidRDefault="00E45A10" w:rsidP="00BE6C23">
      <w:pPr>
        <w:spacing w:after="0" w:line="240" w:lineRule="auto"/>
        <w:jc w:val="both"/>
        <w:rPr>
          <w:rFonts w:asciiTheme="majorBidi" w:hAnsiTheme="majorBidi" w:cstheme="majorBidi"/>
          <w:highlight w:val="yellow"/>
        </w:rPr>
      </w:pPr>
    </w:p>
    <w:p w14:paraId="2D0FF41A" w14:textId="132918B7" w:rsidR="00E45A10" w:rsidRPr="00BB25EC" w:rsidRDefault="00E45A10" w:rsidP="00BE6C23">
      <w:pPr>
        <w:spacing w:after="0" w:line="240" w:lineRule="auto"/>
        <w:jc w:val="both"/>
        <w:rPr>
          <w:rFonts w:asciiTheme="majorBidi" w:hAnsiTheme="majorBidi" w:cstheme="majorBidi"/>
          <w:b/>
          <w:bCs/>
        </w:rPr>
      </w:pPr>
      <w:r w:rsidRPr="00BB25EC">
        <w:rPr>
          <w:rFonts w:asciiTheme="majorBidi" w:hAnsiTheme="majorBidi" w:cstheme="majorBidi"/>
          <w:b/>
          <w:bCs/>
        </w:rPr>
        <w:t>V. Presenting author details</w:t>
      </w:r>
    </w:p>
    <w:p w14:paraId="1C95582D" w14:textId="77777777" w:rsidR="00E45A10" w:rsidRPr="00BB25EC" w:rsidRDefault="00E45A10" w:rsidP="00E45A10">
      <w:pPr>
        <w:spacing w:after="0" w:line="240" w:lineRule="auto"/>
        <w:rPr>
          <w:rFonts w:asciiTheme="majorBidi" w:hAnsiTheme="majorBidi" w:cstheme="majorBidi"/>
        </w:rPr>
      </w:pPr>
    </w:p>
    <w:p w14:paraId="254BBE1C" w14:textId="0FB136F0" w:rsidR="00E45A10" w:rsidRPr="00BB25EC" w:rsidRDefault="00E45A10" w:rsidP="00E45A10">
      <w:pPr>
        <w:spacing w:after="0" w:line="240" w:lineRule="auto"/>
        <w:rPr>
          <w:rFonts w:asciiTheme="majorBidi" w:hAnsiTheme="majorBidi" w:cstheme="majorBidi"/>
        </w:rPr>
      </w:pPr>
      <w:r w:rsidRPr="00BB25EC">
        <w:rPr>
          <w:rFonts w:asciiTheme="majorBidi" w:hAnsiTheme="majorBidi" w:cstheme="majorBidi"/>
        </w:rPr>
        <w:t>Full Name: Mehdi Dehestani</w:t>
      </w:r>
    </w:p>
    <w:p w14:paraId="0FD27E3D" w14:textId="07B12C87" w:rsidR="00E45A10" w:rsidRPr="00BB25EC" w:rsidRDefault="00E45A10" w:rsidP="00E45A10">
      <w:pPr>
        <w:spacing w:after="0" w:line="240" w:lineRule="auto"/>
        <w:rPr>
          <w:rFonts w:asciiTheme="majorBidi" w:hAnsiTheme="majorBidi" w:cstheme="majorBidi"/>
        </w:rPr>
      </w:pPr>
      <w:r w:rsidRPr="00BB25EC">
        <w:rPr>
          <w:rFonts w:asciiTheme="majorBidi" w:hAnsiTheme="majorBidi" w:cstheme="majorBidi"/>
        </w:rPr>
        <w:t xml:space="preserve">Contact number: </w:t>
      </w:r>
      <w:r w:rsidR="00D00613" w:rsidRPr="00BB25EC">
        <w:rPr>
          <w:rFonts w:asciiTheme="majorBidi" w:hAnsiTheme="majorBidi" w:cstheme="majorBidi"/>
        </w:rPr>
        <w:t>+989127001421</w:t>
      </w:r>
    </w:p>
    <w:p w14:paraId="0729524B" w14:textId="77777777" w:rsidR="00E45A10" w:rsidRPr="00BB25EC" w:rsidRDefault="00E45A10" w:rsidP="00E45A10">
      <w:pPr>
        <w:spacing w:after="0" w:line="240" w:lineRule="auto"/>
        <w:rPr>
          <w:rFonts w:asciiTheme="majorBidi" w:hAnsiTheme="majorBidi" w:cstheme="majorBidi"/>
        </w:rPr>
      </w:pPr>
      <w:r w:rsidRPr="00BB25EC">
        <w:rPr>
          <w:rFonts w:asciiTheme="majorBidi" w:hAnsiTheme="majorBidi" w:cstheme="majorBidi"/>
        </w:rPr>
        <w:lastRenderedPageBreak/>
        <w:t xml:space="preserve">Twitter account: </w:t>
      </w:r>
    </w:p>
    <w:p w14:paraId="65C8FE49" w14:textId="1941AA27" w:rsidR="00E45A10" w:rsidRPr="00BB25EC" w:rsidRDefault="00E45A10" w:rsidP="00E45A10">
      <w:pPr>
        <w:spacing w:after="0" w:line="240" w:lineRule="auto"/>
        <w:rPr>
          <w:rFonts w:asciiTheme="majorBidi" w:hAnsiTheme="majorBidi" w:cstheme="majorBidi"/>
        </w:rPr>
      </w:pPr>
      <w:r w:rsidRPr="00BB25EC">
        <w:rPr>
          <w:rFonts w:asciiTheme="majorBidi" w:hAnsiTheme="majorBidi" w:cstheme="majorBidi"/>
        </w:rPr>
        <w:t>Linked In account:</w:t>
      </w:r>
    </w:p>
    <w:p w14:paraId="4FBDF9A5" w14:textId="77777777" w:rsidR="00E45A10" w:rsidRPr="00BB25EC" w:rsidRDefault="00E45A10" w:rsidP="00E45A10">
      <w:pPr>
        <w:spacing w:after="0" w:line="240" w:lineRule="auto"/>
        <w:rPr>
          <w:rFonts w:asciiTheme="majorBidi" w:hAnsiTheme="majorBidi" w:cstheme="majorBidi"/>
        </w:rPr>
      </w:pPr>
      <w:r w:rsidRPr="00BB25EC">
        <w:rPr>
          <w:rFonts w:asciiTheme="majorBidi" w:hAnsiTheme="majorBidi" w:cstheme="majorBidi"/>
        </w:rPr>
        <w:t xml:space="preserve">Session name/ number: </w:t>
      </w:r>
    </w:p>
    <w:p w14:paraId="6AD018D3" w14:textId="3305F157" w:rsidR="00E45A10" w:rsidRPr="00BB25EC" w:rsidRDefault="00E45A10" w:rsidP="00E45A10">
      <w:pPr>
        <w:spacing w:after="0" w:line="240" w:lineRule="auto"/>
        <w:rPr>
          <w:rFonts w:asciiTheme="majorBidi" w:hAnsiTheme="majorBidi" w:cstheme="majorBidi"/>
        </w:rPr>
      </w:pPr>
      <w:r w:rsidRPr="00BB25EC">
        <w:rPr>
          <w:rFonts w:asciiTheme="majorBidi" w:hAnsiTheme="majorBidi" w:cstheme="majorBidi"/>
        </w:rPr>
        <w:t xml:space="preserve">Category: (Oral presentation/ Poster </w:t>
      </w:r>
      <w:proofErr w:type="gramStart"/>
      <w:r w:rsidRPr="00BB25EC">
        <w:rPr>
          <w:rFonts w:asciiTheme="majorBidi" w:hAnsiTheme="majorBidi" w:cstheme="majorBidi"/>
        </w:rPr>
        <w:t>presentation)</w:t>
      </w:r>
      <w:r w:rsidR="00D00613" w:rsidRPr="00BB25EC">
        <w:rPr>
          <w:rFonts w:asciiTheme="majorBidi" w:hAnsiTheme="majorBidi" w:cstheme="majorBidi"/>
        </w:rPr>
        <w:t>Oral</w:t>
      </w:r>
      <w:proofErr w:type="gramEnd"/>
    </w:p>
    <w:p w14:paraId="46DB7D8C" w14:textId="7E8B45C6" w:rsidR="00E45A10" w:rsidRPr="00E45A10" w:rsidRDefault="00E45A10" w:rsidP="00E45A10">
      <w:pPr>
        <w:spacing w:after="0" w:line="240" w:lineRule="auto"/>
        <w:jc w:val="both"/>
        <w:rPr>
          <w:rFonts w:asciiTheme="majorBidi" w:hAnsiTheme="majorBidi" w:cstheme="majorBidi"/>
          <w:rtl/>
          <w:lang w:bidi="fa-IR"/>
        </w:rPr>
      </w:pPr>
      <w:r w:rsidRPr="00BB25EC">
        <w:rPr>
          <w:rFonts w:asciiTheme="majorBidi" w:hAnsiTheme="majorBidi" w:cstheme="majorBidi"/>
        </w:rPr>
        <w:t>Passport Number:</w:t>
      </w:r>
      <w:r w:rsidR="00466A01" w:rsidRPr="00BB25EC">
        <w:rPr>
          <w:rFonts w:asciiTheme="majorBidi" w:hAnsiTheme="majorBidi" w:cstheme="majorBidi"/>
        </w:rPr>
        <w:t>48978996</w:t>
      </w:r>
    </w:p>
    <w:sectPr w:rsidR="00E45A10" w:rsidRPr="00E45A10" w:rsidSect="00E45A10">
      <w:pgSz w:w="11906" w:h="16838" w:code="9"/>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2515B" w14:textId="77777777" w:rsidR="001E6654" w:rsidRDefault="001E6654" w:rsidP="00DB598C">
      <w:pPr>
        <w:spacing w:after="0" w:line="240" w:lineRule="auto"/>
      </w:pPr>
      <w:r>
        <w:separator/>
      </w:r>
    </w:p>
  </w:endnote>
  <w:endnote w:type="continuationSeparator" w:id="0">
    <w:p w14:paraId="52F2D59A" w14:textId="77777777" w:rsidR="001E6654" w:rsidRDefault="001E6654" w:rsidP="00DB5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D7356" w14:textId="77777777" w:rsidR="001E6654" w:rsidRDefault="001E6654" w:rsidP="00DB598C">
      <w:pPr>
        <w:spacing w:after="0" w:line="240" w:lineRule="auto"/>
      </w:pPr>
      <w:r>
        <w:separator/>
      </w:r>
    </w:p>
  </w:footnote>
  <w:footnote w:type="continuationSeparator" w:id="0">
    <w:p w14:paraId="711B9C9D" w14:textId="77777777" w:rsidR="001E6654" w:rsidRDefault="001E6654" w:rsidP="00DB59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98C"/>
    <w:rsid w:val="0008284E"/>
    <w:rsid w:val="00084FF9"/>
    <w:rsid w:val="000B1538"/>
    <w:rsid w:val="001A3648"/>
    <w:rsid w:val="001E6654"/>
    <w:rsid w:val="002123D6"/>
    <w:rsid w:val="002F456D"/>
    <w:rsid w:val="003E5D92"/>
    <w:rsid w:val="00466A01"/>
    <w:rsid w:val="00623664"/>
    <w:rsid w:val="00770B26"/>
    <w:rsid w:val="009979B6"/>
    <w:rsid w:val="009E2035"/>
    <w:rsid w:val="00BB25EC"/>
    <w:rsid w:val="00BE6C23"/>
    <w:rsid w:val="00D00613"/>
    <w:rsid w:val="00DB598C"/>
    <w:rsid w:val="00E45A10"/>
    <w:rsid w:val="00FF1D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7EECC"/>
  <w15:docId w15:val="{5C9FDC11-D0CF-4F28-8614-7F9D30E9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B59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598C"/>
    <w:rPr>
      <w:sz w:val="20"/>
      <w:szCs w:val="20"/>
    </w:rPr>
  </w:style>
  <w:style w:type="character" w:styleId="FootnoteReference">
    <w:name w:val="footnote reference"/>
    <w:basedOn w:val="DefaultParagraphFont"/>
    <w:uiPriority w:val="99"/>
    <w:semiHidden/>
    <w:unhideWhenUsed/>
    <w:rsid w:val="00DB598C"/>
    <w:rPr>
      <w:vertAlign w:val="superscript"/>
    </w:rPr>
  </w:style>
  <w:style w:type="paragraph" w:customStyle="1" w:styleId="Default">
    <w:name w:val="Default"/>
    <w:rsid w:val="00DB598C"/>
    <w:pPr>
      <w:autoSpaceDE w:val="0"/>
      <w:autoSpaceDN w:val="0"/>
      <w:adjustRightInd w:val="0"/>
      <w:spacing w:after="0" w:line="240" w:lineRule="auto"/>
    </w:pPr>
    <w:rPr>
      <w:rFonts w:ascii="Times New Roman" w:hAnsi="Times New Roman" w:cs="Times New Roman"/>
      <w:color w:val="000000"/>
      <w:sz w:val="24"/>
      <w:szCs w:val="24"/>
      <w:lang w:bidi="fa-IR"/>
    </w:rPr>
  </w:style>
  <w:style w:type="paragraph" w:styleId="BalloonText">
    <w:name w:val="Balloon Text"/>
    <w:basedOn w:val="Normal"/>
    <w:link w:val="BalloonTextChar"/>
    <w:uiPriority w:val="99"/>
    <w:semiHidden/>
    <w:unhideWhenUsed/>
    <w:rsid w:val="00770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B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66E94-625D-4634-B36F-F1626CC46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2020-04-05T11:15:00Z</dcterms:created>
  <dcterms:modified xsi:type="dcterms:W3CDTF">2020-04-05T11:15:00Z</dcterms:modified>
</cp:coreProperties>
</file>