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4C5" w:rsidRPr="00DE24C5" w:rsidRDefault="00DE24C5" w:rsidP="00DE24C5">
      <w:pPr>
        <w:jc w:val="both"/>
        <w:rPr>
          <w:b/>
        </w:rPr>
      </w:pPr>
      <w:r w:rsidRPr="00DE24C5">
        <w:rPr>
          <w:b/>
        </w:rPr>
        <w:t>Title: Delayed-onset MRI findings in acute chorea related to anoxic brain injury</w:t>
      </w:r>
    </w:p>
    <w:p w:rsidR="00DE24C5" w:rsidRDefault="00DE24C5" w:rsidP="00DE24C5">
      <w:pPr>
        <w:jc w:val="both"/>
      </w:pPr>
      <w:proofErr w:type="spellStart"/>
      <w:r>
        <w:t>Mehdi</w:t>
      </w:r>
      <w:proofErr w:type="spellEnd"/>
      <w:r>
        <w:t xml:space="preserve"> Ghasemi</w:t>
      </w:r>
      <w:r>
        <w:rPr>
          <w:vertAlign w:val="superscript"/>
        </w:rPr>
        <w:t>1</w:t>
      </w:r>
      <w:r>
        <w:t xml:space="preserve">, </w:t>
      </w:r>
      <w:proofErr w:type="spellStart"/>
      <w:r>
        <w:t>Firas</w:t>
      </w:r>
      <w:proofErr w:type="spellEnd"/>
      <w:r>
        <w:t xml:space="preserve"> Kaddouh</w:t>
      </w:r>
      <w:r>
        <w:rPr>
          <w:vertAlign w:val="superscript"/>
        </w:rPr>
        <w:t>2</w:t>
      </w:r>
      <w:r>
        <w:t xml:space="preserve">, </w:t>
      </w:r>
      <w:proofErr w:type="spellStart"/>
      <w:r>
        <w:t>Anindita</w:t>
      </w:r>
      <w:proofErr w:type="spellEnd"/>
      <w:r>
        <w:t xml:space="preserve"> Deb</w:t>
      </w:r>
      <w:r>
        <w:rPr>
          <w:vertAlign w:val="superscript"/>
        </w:rPr>
        <w:t>3</w:t>
      </w:r>
      <w:r>
        <w:t xml:space="preserve"> and Margaret A Owegi</w:t>
      </w:r>
      <w:r>
        <w:rPr>
          <w:vertAlign w:val="superscript"/>
        </w:rPr>
        <w:t xml:space="preserve">4 </w:t>
      </w:r>
      <w:r>
        <w:t xml:space="preserve">; University of Massachusetts Medical School, USA </w:t>
      </w:r>
    </w:p>
    <w:p w:rsidR="00DE24C5" w:rsidRDefault="00DE24C5" w:rsidP="00DE24C5">
      <w:pPr>
        <w:jc w:val="both"/>
      </w:pPr>
      <w:r w:rsidRPr="00DE24C5">
        <w:rPr>
          <w:b/>
        </w:rPr>
        <w:t>Background:</w:t>
      </w:r>
      <w:r>
        <w:t xml:space="preserve"> Anoxic brain injury can manifest with a variety of abnormal movements. Associated damage to basal ganglia can also cause involuntary movements; mostly delayed </w:t>
      </w:r>
      <w:proofErr w:type="spellStart"/>
      <w:r>
        <w:t>akinetic</w:t>
      </w:r>
      <w:proofErr w:type="spellEnd"/>
      <w:r>
        <w:t xml:space="preserve">-rigid or </w:t>
      </w:r>
      <w:proofErr w:type="spellStart"/>
      <w:r>
        <w:t>dystonic</w:t>
      </w:r>
      <w:proofErr w:type="spellEnd"/>
      <w:r>
        <w:t xml:space="preserve"> syndrome, </w:t>
      </w:r>
      <w:proofErr w:type="spellStart"/>
      <w:r>
        <w:t>ballismus</w:t>
      </w:r>
      <w:proofErr w:type="spellEnd"/>
      <w:r>
        <w:t xml:space="preserve"> and rarely chorea. Case Report: A 32-year-old man with a history of major depression, anxiety and </w:t>
      </w:r>
      <w:proofErr w:type="spellStart"/>
      <w:r>
        <w:t>polysubstance</w:t>
      </w:r>
      <w:proofErr w:type="spellEnd"/>
      <w:r>
        <w:t xml:space="preserve"> abuse was found unresponsive due to </w:t>
      </w:r>
      <w:proofErr w:type="spellStart"/>
      <w:r>
        <w:t>Chlordiazepoxide</w:t>
      </w:r>
      <w:proofErr w:type="spellEnd"/>
      <w:r>
        <w:t xml:space="preserve"> toxicity 5-6 hours after he was last seen normal. He underwent resuscitation for 10 minutes and required mechanical ventilation for 20 hours before being successfully </w:t>
      </w:r>
      <w:proofErr w:type="spellStart"/>
      <w:r>
        <w:t>extubated</w:t>
      </w:r>
      <w:proofErr w:type="spellEnd"/>
      <w:r>
        <w:t xml:space="preserve">. Four days later, he was discharged fully recovered. However, 2 hours after discharge, he developed acute-onset of involuntary movements involving both upper and lower extremities and gait instability. A CT head without contrast upon re-admission was unremarkable. MRI brain without contrast 8 days after the unresponsive event was unremarkable. However, repeat MRI brain with and without contrast 15 days after the unresponsiveness event showed T2 </w:t>
      </w:r>
      <w:proofErr w:type="spellStart"/>
      <w:r>
        <w:t>hyperintensities</w:t>
      </w:r>
      <w:proofErr w:type="spellEnd"/>
      <w:r>
        <w:t xml:space="preserve"> and enhancement within the bilateral </w:t>
      </w:r>
      <w:proofErr w:type="spellStart"/>
      <w:r>
        <w:t>globus</w:t>
      </w:r>
      <w:proofErr w:type="spellEnd"/>
      <w:r>
        <w:t xml:space="preserve"> </w:t>
      </w:r>
      <w:proofErr w:type="spellStart"/>
      <w:r>
        <w:t>pallidi</w:t>
      </w:r>
      <w:proofErr w:type="spellEnd"/>
      <w:r>
        <w:t xml:space="preserve">. He was treated with Haloperidol (1 mg 2-3 times daily </w:t>
      </w:r>
      <w:proofErr w:type="spellStart"/>
      <w:r>
        <w:t>p.r.n</w:t>
      </w:r>
      <w:proofErr w:type="spellEnd"/>
      <w:r>
        <w:t xml:space="preserve">. chorea), </w:t>
      </w:r>
      <w:proofErr w:type="spellStart"/>
      <w:r>
        <w:t>Sertraline</w:t>
      </w:r>
      <w:proofErr w:type="spellEnd"/>
      <w:r>
        <w:t xml:space="preserve"> (200 mg/day), and Diazepam (5 mg twice a day </w:t>
      </w:r>
      <w:proofErr w:type="spellStart"/>
      <w:r>
        <w:t>p.r.n</w:t>
      </w:r>
      <w:proofErr w:type="spellEnd"/>
      <w:r>
        <w:t xml:space="preserve">. chorea) while inpatient and discharged home on </w:t>
      </w:r>
      <w:proofErr w:type="spellStart"/>
      <w:r>
        <w:t>Risperidone</w:t>
      </w:r>
      <w:proofErr w:type="spellEnd"/>
      <w:r>
        <w:t xml:space="preserve"> (0.5 mg </w:t>
      </w:r>
      <w:proofErr w:type="spellStart"/>
      <w:r>
        <w:t>b.i.d</w:t>
      </w:r>
      <w:proofErr w:type="spellEnd"/>
      <w:r>
        <w:t xml:space="preserve">). In subsequent follow-up visits over 8 months (with </w:t>
      </w:r>
      <w:proofErr w:type="spellStart"/>
      <w:r>
        <w:t>Risperidone</w:t>
      </w:r>
      <w:proofErr w:type="spellEnd"/>
      <w:r>
        <w:t xml:space="preserve"> up-titration to 2 mg </w:t>
      </w:r>
      <w:proofErr w:type="spellStart"/>
      <w:r>
        <w:t>b.i.d</w:t>
      </w:r>
      <w:proofErr w:type="spellEnd"/>
      <w:r>
        <w:t xml:space="preserve">. and addition of </w:t>
      </w:r>
      <w:proofErr w:type="spellStart"/>
      <w:r>
        <w:t>Cyclobenzaprine</w:t>
      </w:r>
      <w:proofErr w:type="spellEnd"/>
      <w:r>
        <w:t xml:space="preserve"> (5 mg </w:t>
      </w:r>
      <w:proofErr w:type="spellStart"/>
      <w:r>
        <w:t>b.i.d</w:t>
      </w:r>
      <w:proofErr w:type="spellEnd"/>
      <w:r>
        <w:t xml:space="preserve">.), the patient improved significantly with only mild residual chorea and minimal postural tremor. </w:t>
      </w:r>
    </w:p>
    <w:p w:rsidR="00DE24C5" w:rsidRPr="00DE24C5" w:rsidRDefault="00DE24C5" w:rsidP="00DE24C5">
      <w:pPr>
        <w:jc w:val="both"/>
        <w:rPr>
          <w:b/>
        </w:rPr>
      </w:pPr>
      <w:r w:rsidRPr="00DE24C5">
        <w:rPr>
          <w:b/>
        </w:rPr>
        <w:t>Biography:</w:t>
      </w:r>
    </w:p>
    <w:p w:rsidR="00DE24C5" w:rsidRDefault="00DE24C5" w:rsidP="00DE24C5">
      <w:pPr>
        <w:jc w:val="both"/>
      </w:pPr>
      <w:r>
        <w:t xml:space="preserve">I completed my MD in Tehran University of Medical Sciences (TUMS). After working as a Clinical Researcher in Department of Psychiatry and Senior Researcher in Department of Pharmacology in TUMS, </w:t>
      </w:r>
      <w:proofErr w:type="spellStart"/>
      <w:r>
        <w:t>i</w:t>
      </w:r>
      <w:proofErr w:type="spellEnd"/>
      <w:r>
        <w:t xml:space="preserve"> had joined Department of Neurology at Johns Hopkins University School of Medicine as Postdoctoral Research Fellow (2009-2014). I was also the Director of Neuroscience Clinical Research Program at Neurology Institute for Brain Health and Fitness between 2012 and 2014. I've published over 60 papers in peer-reviewed journals and 30 abstracts in scientific conferences worldwide. I am currently the Chief Resident of Neurology at University of Massachusetts Medical School, USA. My focus of research is mainly clinical research in general neurology and basic aspects of neurodegenerative disorders. </w:t>
      </w:r>
    </w:p>
    <w:sectPr w:rsidR="00DE24C5" w:rsidSect="00E345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DE24C5"/>
    <w:rsid w:val="00DE24C5"/>
    <w:rsid w:val="00E34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Mehdi</dc:creator>
  <cp:lastModifiedBy>SOURAV</cp:lastModifiedBy>
  <cp:revision>1</cp:revision>
  <dcterms:created xsi:type="dcterms:W3CDTF">2018-07-18T19:10:00Z</dcterms:created>
  <dcterms:modified xsi:type="dcterms:W3CDTF">2018-07-18T19:14:00Z</dcterms:modified>
</cp:coreProperties>
</file>