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4633F" w:rsidP="00494130">
      <w:pPr>
        <w:pStyle w:val="Titolo1"/>
        <w:spacing w:before="170"/>
        <w:ind w:left="0"/>
      </w:pPr>
      <w:r>
        <w:rPr>
          <w:color w:val="337AB7"/>
        </w:rPr>
        <w:t xml:space="preserve">Tumor </w:t>
      </w:r>
      <w:r w:rsidR="000D6691">
        <w:rPr>
          <w:color w:val="337AB7"/>
        </w:rPr>
        <w:t>liberated protein (TLP) as potential vaccine for lung cancer patients</w:t>
      </w:r>
    </w:p>
    <w:p w:rsidR="0004633F" w:rsidRDefault="0004633F" w:rsidP="0004633F">
      <w:pPr>
        <w:pStyle w:val="Corpotesto"/>
        <w:spacing w:before="73" w:line="198" w:lineRule="exact"/>
        <w:ind w:left="100" w:right="5967"/>
        <w:rPr>
          <w:rFonts w:ascii="Arial"/>
        </w:rPr>
      </w:pPr>
      <w:r>
        <w:rPr>
          <w:rFonts w:ascii="Arial"/>
        </w:rPr>
        <w:t>Giulio Tarro, Md, Phd, President of Foundation de Beaumont Bonelli for cancer research, Naples - Italy</w:t>
      </w:r>
    </w:p>
    <w:p w:rsidR="00AE3E37" w:rsidRDefault="00AE3E37">
      <w:pPr>
        <w:pStyle w:val="Corpotesto"/>
        <w:rPr>
          <w:rFonts w:ascii="Arial"/>
          <w:sz w:val="20"/>
        </w:rPr>
      </w:pPr>
    </w:p>
    <w:p w:rsidR="00AE3E37" w:rsidRDefault="00AE3E37">
      <w:pPr>
        <w:pStyle w:val="Corpotesto"/>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lastRenderedPageBreak/>
        <w:t>Abstract</w:t>
      </w:r>
      <w:r w:rsidR="00404E5B">
        <w:rPr>
          <w:color w:val="BF5A14"/>
        </w:rPr>
        <w:t xml:space="preserve"> </w:t>
      </w:r>
    </w:p>
    <w:p w:rsidR="0004633F" w:rsidRPr="0004633F" w:rsidRDefault="0004633F" w:rsidP="0004633F">
      <w:pPr>
        <w:widowControl/>
        <w:spacing w:line="276" w:lineRule="auto"/>
        <w:jc w:val="both"/>
        <w:rPr>
          <w:rFonts w:asciiTheme="minorHAnsi" w:eastAsiaTheme="minorHAnsi" w:hAnsiTheme="minorHAnsi" w:cstheme="minorBidi"/>
          <w:sz w:val="18"/>
          <w:szCs w:val="18"/>
          <w:lang w:bidi="en-US"/>
        </w:rPr>
      </w:pPr>
      <w:r w:rsidRPr="0004633F">
        <w:rPr>
          <w:rFonts w:asciiTheme="minorHAnsi" w:eastAsiaTheme="minorHAnsi" w:hAnsiTheme="minorHAnsi" w:cstheme="minorBidi"/>
          <w:sz w:val="18"/>
          <w:szCs w:val="18"/>
        </w:rPr>
        <w:t>Tumor liberated protein (TLP) has been previously described as a TAA (complex) present in the sera from lung cancer patients with early stage disease.</w:t>
      </w:r>
      <w:r w:rsidRPr="0004633F">
        <w:rPr>
          <w:rFonts w:asciiTheme="minorHAnsi" w:eastAsiaTheme="minorHAnsi" w:hAnsiTheme="minorHAnsi" w:cstheme="minorBidi"/>
          <w:sz w:val="18"/>
          <w:szCs w:val="18"/>
          <w:lang w:bidi="en-US"/>
        </w:rPr>
        <w:t xml:space="preserve"> </w:t>
      </w:r>
    </w:p>
    <w:p w:rsidR="0004633F" w:rsidRPr="0004633F" w:rsidRDefault="0004633F" w:rsidP="0004633F">
      <w:pPr>
        <w:widowControl/>
        <w:spacing w:line="276" w:lineRule="auto"/>
        <w:jc w:val="both"/>
        <w:rPr>
          <w:rFonts w:asciiTheme="minorHAnsi" w:eastAsiaTheme="minorHAnsi" w:hAnsiTheme="minorHAnsi" w:cs="Arial"/>
          <w:sz w:val="18"/>
          <w:szCs w:val="18"/>
          <w:lang w:bidi="en-US"/>
        </w:rPr>
      </w:pPr>
      <w:r w:rsidRPr="0004633F">
        <w:rPr>
          <w:rFonts w:asciiTheme="minorHAnsi" w:eastAsiaTheme="minorHAnsi" w:hAnsiTheme="minorHAnsi" w:cstheme="minorBidi"/>
          <w:sz w:val="18"/>
          <w:szCs w:val="18"/>
        </w:rPr>
        <w:t xml:space="preserve">Since early detection improves overall survival in lung cancer, identification of screening biomarkers for patients at risk for the development of this disease represents an important target. Starting from the peptide epitope RTNKEASI previously isolated from TLP complexes, we generated a rabbit anti-RTNKEASI serum. </w:t>
      </w:r>
      <w:r w:rsidRPr="0004633F">
        <w:rPr>
          <w:rFonts w:asciiTheme="minorHAnsi" w:eastAsiaTheme="minorHAnsi" w:hAnsiTheme="minorHAnsi" w:cstheme="minorBidi"/>
          <w:sz w:val="18"/>
          <w:szCs w:val="18"/>
          <w:lang w:bidi="en-US"/>
        </w:rPr>
        <w:t xml:space="preserve">This antiserum detected and immunoprecipitated a 55kDa protein band in the lysate of the lung cancer cell line A549. This protein band was identified as aldehyde dehydrogenase isoform 1A1 through mass spectrometry, revealing the molecular nature of at least one component of the previously described TLP complex. Next, we screened a cohort of 29 lung cancer patients (all histologies), 17 patients with non-neoplastic lung pathologies and 9 healthy donors for the presence of serum ALDH1A1 and global serum ALDH by enzyme-linked immunosorbent assay. This analysis indicated that the presence of ALDH was highly restricted to patients with lung cancer. Interestingly, the global ALDH test detected more lung cancer patients compared to the ALDH1A1-specific test, suggesting that other ALDH isoforms might add to the sensitivity of the assay. </w:t>
      </w:r>
      <w:r w:rsidRPr="0004633F">
        <w:rPr>
          <w:rFonts w:asciiTheme="minorHAnsi" w:eastAsiaTheme="minorHAnsi" w:hAnsiTheme="minorHAnsi" w:cs="Arial"/>
          <w:sz w:val="18"/>
          <w:szCs w:val="18"/>
          <w:lang w:bidi="en-US"/>
        </w:rPr>
        <w:t>Our data suggest that ALDH levels may therefore be evaluated as part of a marker panel for lung cancer screening.</w:t>
      </w:r>
    </w:p>
    <w:p w:rsidR="0004633F" w:rsidRPr="0004633F" w:rsidRDefault="0004633F" w:rsidP="0004633F">
      <w:pPr>
        <w:widowControl/>
        <w:spacing w:line="276" w:lineRule="auto"/>
        <w:jc w:val="both"/>
        <w:rPr>
          <w:rFonts w:asciiTheme="minorHAnsi" w:eastAsiaTheme="minorHAnsi" w:hAnsiTheme="minorHAnsi" w:cstheme="minorBidi"/>
          <w:sz w:val="18"/>
          <w:szCs w:val="18"/>
        </w:rPr>
      </w:pPr>
      <w:r w:rsidRPr="0004633F">
        <w:rPr>
          <w:rFonts w:asciiTheme="minorHAnsi" w:eastAsiaTheme="minorHAnsi" w:hAnsiTheme="minorHAnsi" w:cstheme="minorBidi"/>
          <w:sz w:val="18"/>
          <w:szCs w:val="18"/>
        </w:rPr>
        <w:t>Finally, the ability of the immune system to recognize a TAA, enables the development of a vaccine approach for preventive and therapeutic application and represents a main target of this field of research.</w:t>
      </w:r>
    </w:p>
    <w:p w:rsidR="005973B9" w:rsidRDefault="00A9710C" w:rsidP="0004633F">
      <w:pPr>
        <w:pStyle w:val="Titolo3"/>
        <w:spacing w:before="74"/>
        <w:rPr>
          <w:b w:val="0"/>
        </w:rPr>
      </w:pPr>
      <w:r>
        <w:rPr>
          <w:b w:val="0"/>
        </w:rPr>
        <w:br w:type="column"/>
      </w:r>
      <w:r w:rsidR="005973B9">
        <w:rPr>
          <w:color w:val="BF5A14"/>
        </w:rPr>
        <w:lastRenderedPageBreak/>
        <w:t xml:space="preserve">Recent Publications </w:t>
      </w:r>
    </w:p>
    <w:p w:rsidR="00BC6B17" w:rsidRPr="00A31A41" w:rsidRDefault="00BC6B17" w:rsidP="00BC6B17">
      <w:pPr>
        <w:pStyle w:val="Paragrafoelenco"/>
        <w:numPr>
          <w:ilvl w:val="0"/>
          <w:numId w:val="2"/>
        </w:numPr>
        <w:tabs>
          <w:tab w:val="left" w:pos="384"/>
        </w:tabs>
        <w:spacing w:before="79" w:line="360" w:lineRule="auto"/>
        <w:ind w:hanging="283"/>
        <w:rPr>
          <w:rFonts w:asciiTheme="minorHAnsi" w:hAnsiTheme="minorHAnsi"/>
          <w:sz w:val="18"/>
          <w:szCs w:val="18"/>
        </w:rPr>
      </w:pPr>
      <w:r w:rsidRPr="00A31A41">
        <w:rPr>
          <w:rFonts w:asciiTheme="minorHAnsi" w:hAnsiTheme="minorHAnsi"/>
          <w:bCs/>
          <w:sz w:val="18"/>
          <w:szCs w:val="18"/>
        </w:rPr>
        <w:t xml:space="preserve">Migratory Phenomenons, Biothics and Vaccinations Advances in Microbiology </w:t>
      </w:r>
      <w:r>
        <w:rPr>
          <w:rFonts w:asciiTheme="minorHAnsi" w:hAnsiTheme="minorHAnsi"/>
          <w:bCs/>
          <w:sz w:val="18"/>
          <w:szCs w:val="18"/>
        </w:rPr>
        <w:t>, 5: 720-723, 2015.</w:t>
      </w:r>
    </w:p>
    <w:p w:rsidR="00BC6B17" w:rsidRPr="00A31A41" w:rsidRDefault="00BC6B17" w:rsidP="00BC6B17">
      <w:pPr>
        <w:pStyle w:val="Paragrafoelenco"/>
        <w:widowControl/>
        <w:numPr>
          <w:ilvl w:val="0"/>
          <w:numId w:val="2"/>
        </w:numPr>
        <w:spacing w:before="0" w:line="360" w:lineRule="auto"/>
        <w:contextualSpacing/>
        <w:rPr>
          <w:rFonts w:asciiTheme="minorHAnsi" w:hAnsiTheme="minorHAnsi"/>
          <w:bCs/>
          <w:sz w:val="18"/>
          <w:szCs w:val="18"/>
        </w:rPr>
      </w:pPr>
      <w:r w:rsidRPr="00A31A41">
        <w:rPr>
          <w:rFonts w:asciiTheme="minorHAnsi" w:hAnsiTheme="minorHAnsi"/>
          <w:bCs/>
          <w:sz w:val="18"/>
          <w:szCs w:val="18"/>
        </w:rPr>
        <w:t>Lights and shadows of vaccinations. J of Vaccine Research and Development</w:t>
      </w:r>
      <w:r>
        <w:rPr>
          <w:rFonts w:asciiTheme="minorHAnsi" w:hAnsiTheme="minorHAnsi"/>
          <w:bCs/>
          <w:sz w:val="18"/>
          <w:szCs w:val="18"/>
        </w:rPr>
        <w:t>, 1 (1): 1-4, 2016</w:t>
      </w:r>
      <w:r w:rsidRPr="00A31A41">
        <w:rPr>
          <w:rFonts w:asciiTheme="minorHAnsi" w:hAnsiTheme="minorHAnsi"/>
          <w:bCs/>
          <w:sz w:val="18"/>
          <w:szCs w:val="18"/>
        </w:rPr>
        <w:t>.</w:t>
      </w:r>
    </w:p>
    <w:p w:rsidR="00BC6B17" w:rsidRPr="00A31A41" w:rsidRDefault="00BC6B17" w:rsidP="00BC6B17">
      <w:pPr>
        <w:pStyle w:val="Paragrafoelenco"/>
        <w:widowControl/>
        <w:numPr>
          <w:ilvl w:val="0"/>
          <w:numId w:val="2"/>
        </w:numPr>
        <w:spacing w:before="0" w:line="360" w:lineRule="auto"/>
        <w:contextualSpacing/>
        <w:rPr>
          <w:rFonts w:asciiTheme="minorHAnsi" w:hAnsiTheme="minorHAnsi"/>
          <w:bCs/>
          <w:sz w:val="18"/>
          <w:szCs w:val="18"/>
        </w:rPr>
      </w:pPr>
      <w:r w:rsidRPr="00A31A41">
        <w:rPr>
          <w:rFonts w:asciiTheme="minorHAnsi" w:hAnsiTheme="minorHAnsi"/>
          <w:bCs/>
          <w:sz w:val="18"/>
          <w:szCs w:val="18"/>
        </w:rPr>
        <w:t>Anti-Rhinovirus Activity of Ethyl1 4-(3-(2-(3-Methylisoxazol-5-Y1) Etthoxy) Propoxy) Benzoate (EMEB). Pharma Anal Acta 2016, 7:469. Doi: 10.4172/2153-2435.1000469.</w:t>
      </w:r>
    </w:p>
    <w:p w:rsidR="00BC6B17" w:rsidRDefault="00BC6B17" w:rsidP="00BC6B17">
      <w:pPr>
        <w:pStyle w:val="Paragrafoelenco"/>
        <w:numPr>
          <w:ilvl w:val="0"/>
          <w:numId w:val="2"/>
        </w:numPr>
        <w:tabs>
          <w:tab w:val="left" w:pos="384"/>
        </w:tabs>
        <w:spacing w:before="79" w:line="360" w:lineRule="auto"/>
        <w:ind w:hanging="283"/>
        <w:rPr>
          <w:sz w:val="18"/>
        </w:rPr>
      </w:pPr>
      <w:r>
        <w:rPr>
          <w:sz w:val="18"/>
        </w:rPr>
        <w:t>Preliminary Data on the Role of Contrast Enhanced Ultasound (CEUS) in Early Diagnosis and Staging of Rheumatoid Arthritis, E. Trapanese, U. Scognamiglio, P. Amato and G. Tarro. International Education and Research Journal, Vol. 2, Issue 8: 41-42, August 2016.</w:t>
      </w:r>
    </w:p>
    <w:p w:rsidR="00BC6B17" w:rsidRDefault="00BC6B17" w:rsidP="00BC6B17">
      <w:pPr>
        <w:pStyle w:val="Paragrafoelenco"/>
        <w:numPr>
          <w:ilvl w:val="0"/>
          <w:numId w:val="2"/>
        </w:numPr>
        <w:tabs>
          <w:tab w:val="left" w:pos="384"/>
        </w:tabs>
        <w:spacing w:before="79" w:line="360" w:lineRule="auto"/>
        <w:ind w:hanging="283"/>
        <w:rPr>
          <w:sz w:val="18"/>
        </w:rPr>
      </w:pPr>
      <w:r>
        <w:rPr>
          <w:sz w:val="18"/>
        </w:rPr>
        <w:t>Human Vaccines for Oncogenic Viruses and Perspectives for Tumor Antigens Induced by Virus. G. Tarro. International Journal of Clinical &amp; Medical Microbiology, Vol. 1 : 114-119, 2016.</w:t>
      </w:r>
    </w:p>
    <w:p w:rsidR="00BC6B17" w:rsidRDefault="00BC6B17" w:rsidP="00BC6B17">
      <w:pPr>
        <w:pStyle w:val="Paragrafoelenco"/>
        <w:numPr>
          <w:ilvl w:val="0"/>
          <w:numId w:val="2"/>
        </w:numPr>
        <w:tabs>
          <w:tab w:val="left" w:pos="384"/>
        </w:tabs>
        <w:spacing w:before="79" w:line="360" w:lineRule="auto"/>
        <w:ind w:hanging="283"/>
        <w:rPr>
          <w:sz w:val="18"/>
        </w:rPr>
      </w:pPr>
      <w:r>
        <w:rPr>
          <w:sz w:val="18"/>
        </w:rPr>
        <w:t>Emerging Influenza Viruses at Risk in Global Health. G. Tarro. Journal of Clinical &amp; Experimental Immunology, Vol. 1 Issue 2: 1-4, 2016.</w:t>
      </w:r>
    </w:p>
    <w:p w:rsidR="0004633F" w:rsidRDefault="0004633F" w:rsidP="0004633F">
      <w:pPr>
        <w:pStyle w:val="Corpotesto"/>
        <w:spacing w:before="82" w:line="200" w:lineRule="exact"/>
        <w:ind w:left="383" w:right="11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8DCD8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4633F" w:rsidRDefault="008756E6" w:rsidP="0004633F">
      <w:pPr>
        <w:spacing w:before="92"/>
        <w:ind w:right="4234"/>
        <w:jc w:val="center"/>
        <w:rPr>
          <w:rFonts w:ascii="Arial"/>
          <w:color w:val="BF5A14"/>
        </w:rPr>
      </w:pPr>
      <w:r>
        <w:rPr>
          <w:noProof/>
        </w:rPr>
        <w:t xml:space="preserve">    </w:t>
      </w:r>
      <w:r w:rsidR="0004633F">
        <w:rPr>
          <w:rFonts w:ascii="Arial"/>
          <w:color w:val="BF5A14"/>
        </w:rPr>
        <w:t>Biography</w:t>
      </w:r>
    </w:p>
    <w:p w:rsidR="0004633F" w:rsidRPr="00041713" w:rsidRDefault="0004633F" w:rsidP="0004633F">
      <w:pPr>
        <w:widowControl/>
        <w:shd w:val="clear" w:color="auto" w:fill="FFFFFF"/>
        <w:spacing w:after="200" w:line="276" w:lineRule="auto"/>
        <w:ind w:right="1192"/>
        <w:jc w:val="both"/>
        <w:rPr>
          <w:rFonts w:ascii="Calibri" w:eastAsiaTheme="minorHAnsi" w:hAnsi="Calibri" w:cstheme="minorBidi"/>
          <w:b/>
          <w:sz w:val="16"/>
          <w:szCs w:val="16"/>
        </w:rPr>
      </w:pPr>
      <w:r w:rsidRPr="00041713">
        <w:rPr>
          <w:rFonts w:ascii="Calibri" w:eastAsia="NSimSun" w:hAnsi="Calibri" w:cs="Times New Roman"/>
          <w:b/>
          <w:noProof/>
          <w:sz w:val="16"/>
          <w:szCs w:val="16"/>
          <w:lang w:val="it-IT" w:eastAsia="it-IT"/>
        </w:rPr>
        <w:drawing>
          <wp:anchor distT="0" distB="0" distL="114300" distR="114300" simplePos="0" relativeHeight="251660288" behindDoc="0" locked="0" layoutInCell="1" allowOverlap="1" wp14:anchorId="628CCCD9" wp14:editId="4E9B8A2E">
            <wp:simplePos x="0" y="0"/>
            <wp:positionH relativeFrom="column">
              <wp:posOffset>95250</wp:posOffset>
            </wp:positionH>
            <wp:positionV relativeFrom="paragraph">
              <wp:posOffset>67310</wp:posOffset>
            </wp:positionV>
            <wp:extent cx="1190625" cy="793750"/>
            <wp:effectExtent l="0" t="0" r="9525" b="6350"/>
            <wp:wrapThrough wrapText="bothSides">
              <wp:wrapPolygon edited="0">
                <wp:start x="0" y="0"/>
                <wp:lineTo x="0" y="21254"/>
                <wp:lineTo x="21427" y="21254"/>
                <wp:lineTo x="21427" y="0"/>
                <wp:lineTo x="0" y="0"/>
              </wp:wrapPolygon>
            </wp:wrapThrough>
            <wp:docPr id="3" name="Immagine 3" descr="C:\Users\Giuseppe\Desktop\DSC_4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useppe\Desktop\DSC_427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9062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1713">
        <w:rPr>
          <w:rFonts w:ascii="Calibri" w:eastAsia="NSimSun" w:hAnsi="Calibri" w:cstheme="minorBidi"/>
          <w:b/>
          <w:color w:val="222222"/>
          <w:sz w:val="16"/>
          <w:szCs w:val="16"/>
          <w:lang w:eastAsia="it-IT"/>
        </w:rPr>
        <w:t xml:space="preserve">Giulio Tarro graduated from Medicine School, Naples University (1962). Research Associate, Division of Virology and Cancer Research, Children’s Hospital (1965-1968), Assistant Professor of Research Pediatrics, College Medicine (1968-1969), Cincinnati University, Ohio. Oncological Virology Professor, Naples University (1972-1985). Chief Division Virology (1973-2003), Head Department Diagnostic Laboratories, (2003-2006). D. Cotugno Hospital for Infectious Diseases, Naples; Emeritus, 2006 -. </w:t>
      </w:r>
      <w:r w:rsidRPr="00041713">
        <w:rPr>
          <w:rFonts w:ascii="Calibri" w:eastAsia="NSimSun" w:hAnsi="Calibri" w:cstheme="minorBidi"/>
          <w:b/>
          <w:color w:val="500050"/>
          <w:sz w:val="16"/>
          <w:szCs w:val="16"/>
          <w:lang w:eastAsia="it-IT"/>
        </w:rPr>
        <w:t xml:space="preserve">Since 2007 Chairman Committee of Biotechnologies and VirusSphere, World Academy Biomedical Technologies, UNESCO, Adjunct Professor Department Biology, Temple University, College of Science and Technology, Philadelphia, recipient of the Sbarro Health Research Organization lifetime achievement award (2010). </w:t>
      </w:r>
      <w:r w:rsidRPr="00041713">
        <w:rPr>
          <w:rFonts w:ascii="Calibri" w:hAnsi="Calibri"/>
          <w:b/>
          <w:sz w:val="16"/>
          <w:szCs w:val="16"/>
          <w:lang w:val="en-GB"/>
        </w:rPr>
        <w:t xml:space="preserve">His researches have been concerned with </w:t>
      </w:r>
      <w:r>
        <w:rPr>
          <w:rFonts w:ascii="Calibri" w:hAnsi="Calibri"/>
          <w:b/>
          <w:sz w:val="16"/>
          <w:szCs w:val="16"/>
          <w:lang w:val="en-GB"/>
        </w:rPr>
        <w:t xml:space="preserve">the </w:t>
      </w:r>
      <w:r w:rsidRPr="00041713">
        <w:rPr>
          <w:rFonts w:ascii="Calibri" w:hAnsi="Calibri"/>
          <w:b/>
          <w:sz w:val="16"/>
          <w:szCs w:val="16"/>
          <w:lang w:val="en-GB"/>
        </w:rPr>
        <w:t>characterization of specific virus-induced tumour antigens, which were the "finger-prints" left behind in human cancer.</w:t>
      </w:r>
      <w:r w:rsidRPr="00041713">
        <w:rPr>
          <w:rFonts w:ascii="Calibri" w:eastAsia="NSimSun" w:hAnsi="Calibri"/>
          <w:b/>
          <w:sz w:val="16"/>
          <w:szCs w:val="16"/>
        </w:rPr>
        <w:t xml:space="preserve"> </w:t>
      </w:r>
      <w:r w:rsidRPr="00041713">
        <w:rPr>
          <w:rFonts w:ascii="Calibri" w:hAnsi="Calibri"/>
          <w:b/>
          <w:sz w:val="16"/>
          <w:szCs w:val="16"/>
          <w:lang w:val="en-GB"/>
        </w:rPr>
        <w:t>Achievements include patents in field; discovery of Respiratory Syncytial Virus in infant deaths in Naples and of tumor liberated protein as a tumor associated antigen, 55 kilodalton protein overexpressed in lung tumors and other epithelial adenocarcinomas.</w:t>
      </w:r>
    </w:p>
    <w:p w:rsidR="0004633F" w:rsidRDefault="0004633F" w:rsidP="0004633F">
      <w:pPr>
        <w:spacing w:before="62"/>
        <w:ind w:left="4217" w:right="4235"/>
        <w:jc w:val="center"/>
        <w:rPr>
          <w:rFonts w:ascii="Arial"/>
          <w:sz w:val="29"/>
        </w:rPr>
      </w:pPr>
      <w:r>
        <w:rPr>
          <w:rFonts w:ascii="Arial"/>
          <w:sz w:val="14"/>
        </w:rPr>
        <w:t xml:space="preserve">Email: </w:t>
      </w:r>
      <w:r>
        <w:rPr>
          <w:noProof/>
          <w:lang w:val="it-IT" w:eastAsia="it-IT"/>
        </w:rPr>
        <mc:AlternateContent>
          <mc:Choice Requires="wps">
            <w:drawing>
              <wp:anchor distT="0" distB="0" distL="0" distR="0" simplePos="0" relativeHeight="251659264" behindDoc="0" locked="0" layoutInCell="1" allowOverlap="1" wp14:anchorId="4010EF63" wp14:editId="64BC7949">
                <wp:simplePos x="0" y="0"/>
                <wp:positionH relativeFrom="page">
                  <wp:posOffset>2058670</wp:posOffset>
                </wp:positionH>
                <wp:positionV relativeFrom="paragraph">
                  <wp:posOffset>168275</wp:posOffset>
                </wp:positionV>
                <wp:extent cx="3442335" cy="0"/>
                <wp:effectExtent l="10795" t="6350" r="13970" b="1270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E350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Wp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OG5&#10;5ak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hyperlink r:id="rId14" w:history="1">
        <w:r w:rsidRPr="00863B96">
          <w:rPr>
            <w:rStyle w:val="Collegamentoipertestuale"/>
            <w:rFonts w:ascii="Arial"/>
            <w:sz w:val="14"/>
          </w:rPr>
          <w:t>giuliotarro@gmail.com</w:t>
        </w:r>
      </w:hyperlink>
      <w:r>
        <w:rPr>
          <w:rFonts w:ascii="Arial"/>
          <w:sz w:val="14"/>
        </w:rPr>
        <w:t xml:space="preserve"> </w:t>
      </w:r>
    </w:p>
    <w:p w:rsidR="002A196B" w:rsidRDefault="002A196B" w:rsidP="00404E5B">
      <w:pPr>
        <w:spacing w:before="92"/>
        <w:ind w:right="4234"/>
        <w:rPr>
          <w:noProof/>
        </w:rPr>
      </w:pPr>
      <w:r>
        <w:rPr>
          <w:noProof/>
        </w:rPr>
        <w:t xml:space="preserve">  </w:t>
      </w:r>
    </w:p>
    <w:p w:rsidR="002A196B" w:rsidRDefault="002A196B" w:rsidP="00404E5B">
      <w:pPr>
        <w:spacing w:before="92"/>
        <w:ind w:right="4234"/>
        <w:rPr>
          <w:noProof/>
        </w:rPr>
      </w:pPr>
      <w:r>
        <w:rPr>
          <w:noProof/>
        </w:rPr>
        <w:t xml:space="preserve">   </w:t>
      </w:r>
    </w:p>
    <w:sectPr w:rsidR="002A196B" w:rsidSect="0004633F">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438B" w:rsidRDefault="006E438B">
      <w:r>
        <w:separator/>
      </w:r>
    </w:p>
  </w:endnote>
  <w:endnote w:type="continuationSeparator" w:id="0">
    <w:p w:rsidR="006E438B" w:rsidRDefault="006E4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78C" w:rsidRDefault="00E3478C">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B17" w:rsidRDefault="00BC6B17">
    <w:pPr>
      <w:pStyle w:val="Pidipagina"/>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E3478C" w:rsidRPr="00E3478C">
      <w:rPr>
        <w:caps/>
        <w:noProof/>
        <w:color w:val="4F81BD" w:themeColor="accent1"/>
        <w:lang w:val="it-IT"/>
      </w:rPr>
      <w:t>1</w:t>
    </w:r>
    <w:r>
      <w:rPr>
        <w:caps/>
        <w:color w:val="4F81BD" w:themeColor="accent1"/>
      </w:rPr>
      <w:fldChar w:fldCharType="end"/>
    </w:r>
  </w:p>
  <w:p w:rsidR="00AE3E37" w:rsidRDefault="00AE3E37">
    <w:pPr>
      <w:pStyle w:val="Corpotesto"/>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78C" w:rsidRDefault="00E3478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438B" w:rsidRDefault="006E438B">
      <w:r>
        <w:separator/>
      </w:r>
    </w:p>
  </w:footnote>
  <w:footnote w:type="continuationSeparator" w:id="0">
    <w:p w:rsidR="006E438B" w:rsidRDefault="006E43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78C" w:rsidRDefault="00E3478C">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C6B17" w:rsidRDefault="00E3478C" w:rsidP="00BC6B17">
                          <w:pPr>
                            <w:pStyle w:val="Corpotesto"/>
                            <w:spacing w:line="187" w:lineRule="exact"/>
                            <w:ind w:right="-10"/>
                            <w:rPr>
                              <w:rFonts w:ascii="Myriad Pro"/>
                              <w:color w:val="FF0000"/>
                            </w:rPr>
                          </w:pPr>
                          <w:r>
                            <w:rPr>
                              <w:rFonts w:ascii="Myriad Pro"/>
                              <w:color w:val="FF0000"/>
                            </w:rPr>
                            <w:t xml:space="preserve">Rome, October 25-27, </w:t>
                          </w:r>
                          <w:bookmarkStart w:id="0" w:name="_GoBack"/>
                          <w:bookmarkEnd w:id="0"/>
                          <w:r w:rsidR="00C074C1">
                            <w:rPr>
                              <w:rFonts w:ascii="Myriad Pro"/>
                              <w:color w:val="FF0000"/>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BC6B17" w:rsidRDefault="00E3478C" w:rsidP="00BC6B17">
                    <w:pPr>
                      <w:pStyle w:val="Corpotesto"/>
                      <w:spacing w:line="187" w:lineRule="exact"/>
                      <w:ind w:right="-10"/>
                      <w:rPr>
                        <w:rFonts w:ascii="Myriad Pro"/>
                        <w:color w:val="FF0000"/>
                      </w:rPr>
                    </w:pPr>
                    <w:r>
                      <w:rPr>
                        <w:rFonts w:ascii="Myriad Pro"/>
                        <w:color w:val="FF0000"/>
                      </w:rPr>
                      <w:t xml:space="preserve">Rome, October 25-27, </w:t>
                    </w:r>
                    <w:bookmarkStart w:id="1" w:name="_GoBack"/>
                    <w:bookmarkEnd w:id="1"/>
                    <w:r w:rsidR="00C074C1">
                      <w:rPr>
                        <w:rFonts w:ascii="Myriad Pro"/>
                        <w:color w:val="FF0000"/>
                      </w:rPr>
                      <w:t>2018</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78C" w:rsidRDefault="00E3478C">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33F"/>
    <w:rsid w:val="000D6691"/>
    <w:rsid w:val="000E2911"/>
    <w:rsid w:val="001263DF"/>
    <w:rsid w:val="001A4527"/>
    <w:rsid w:val="002037A3"/>
    <w:rsid w:val="00287263"/>
    <w:rsid w:val="00292ED9"/>
    <w:rsid w:val="002A196B"/>
    <w:rsid w:val="002B2804"/>
    <w:rsid w:val="00402EAD"/>
    <w:rsid w:val="00404E5B"/>
    <w:rsid w:val="00414F7B"/>
    <w:rsid w:val="004355DC"/>
    <w:rsid w:val="004749B4"/>
    <w:rsid w:val="00494130"/>
    <w:rsid w:val="004D2792"/>
    <w:rsid w:val="004F3523"/>
    <w:rsid w:val="005973B9"/>
    <w:rsid w:val="005B3A56"/>
    <w:rsid w:val="006060CE"/>
    <w:rsid w:val="006263B5"/>
    <w:rsid w:val="0063497F"/>
    <w:rsid w:val="006E438B"/>
    <w:rsid w:val="00873DF0"/>
    <w:rsid w:val="008756E6"/>
    <w:rsid w:val="008C1176"/>
    <w:rsid w:val="008D6103"/>
    <w:rsid w:val="009B2D44"/>
    <w:rsid w:val="00A07E82"/>
    <w:rsid w:val="00A70A6A"/>
    <w:rsid w:val="00A9710C"/>
    <w:rsid w:val="00AA2E9D"/>
    <w:rsid w:val="00AE3E37"/>
    <w:rsid w:val="00B21A57"/>
    <w:rsid w:val="00BC6B17"/>
    <w:rsid w:val="00C074C1"/>
    <w:rsid w:val="00C33602"/>
    <w:rsid w:val="00CD6F55"/>
    <w:rsid w:val="00D40D68"/>
    <w:rsid w:val="00DE1AF1"/>
    <w:rsid w:val="00DE3104"/>
    <w:rsid w:val="00E3478C"/>
    <w:rsid w:val="00E438AA"/>
    <w:rsid w:val="00E921D1"/>
    <w:rsid w:val="00F72EEA"/>
    <w:rsid w:val="00F80C04"/>
    <w:rsid w:val="00F84CAE"/>
    <w:rsid w:val="00F93A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C6E8A4-E550-4E46-94D4-39762AA0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giuliotarr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612</Words>
  <Characters>3495</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Giuseppe Tarro</cp:lastModifiedBy>
  <cp:revision>17</cp:revision>
  <cp:lastPrinted>2018-05-17T08:42:00Z</cp:lastPrinted>
  <dcterms:created xsi:type="dcterms:W3CDTF">2016-09-29T10:32:00Z</dcterms:created>
  <dcterms:modified xsi:type="dcterms:W3CDTF">2018-06-28T10:48:00Z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