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46" w:rsidRDefault="004A382B">
      <w:pPr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Quantitative determination of anti-</w:t>
      </w:r>
      <w:r>
        <w:rPr>
          <w:rFonts w:ascii="Times New Roman" w:hAnsi="Times New Roman" w:cs="Times New Roman"/>
          <w:b/>
          <w:i/>
          <w:sz w:val="28"/>
          <w:szCs w:val="28"/>
          <w:lang w:val="en-GB"/>
        </w:rPr>
        <w:t>Helicobacter pylori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specific antibodies of IgG, IgA and IgM types in general population of Pakistan using non-invasive technique.</w:t>
      </w:r>
    </w:p>
    <w:p w:rsidR="004A382B" w:rsidRDefault="004A382B">
      <w:pPr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C0A46" w:rsidRDefault="004A382B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Authors: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Anum Muneer, Nain Taara Bukhari, Tariq Siddiqui, Shaheen Javed, Shahana Urooj </w:t>
      </w:r>
      <w:r>
        <w:rPr>
          <w:rFonts w:ascii="Times New Roman" w:hAnsi="Times New Roman" w:cs="Times New Roman"/>
          <w:sz w:val="28"/>
          <w:szCs w:val="28"/>
          <w:lang w:val="en-GB"/>
        </w:rPr>
        <w:t>Kazmi.</w:t>
      </w:r>
      <w:bookmarkStart w:id="0" w:name="_GoBack"/>
      <w:bookmarkEnd w:id="0"/>
    </w:p>
    <w:p w:rsidR="006C0A46" w:rsidRDefault="004A382B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Background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 xml:space="preserve">Helicobacter pylori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is a spiral bacterium cultured from human gastric mucosa in 1982. Presence of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>H.Pylori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is associated with a variety of gastrointestinal diseases including gastritis, duodenal and gastric ulcer, non-ulcer dyspepsia, ga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stric adenocarcinoma &amp; lymphoma. The organism is present in 95-98% of patients with duodenal ulcer &amp; 60-95% of patients with gastric ulcers.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Material &amp; Method</w:t>
      </w:r>
      <w:r>
        <w:rPr>
          <w:rFonts w:ascii="Times New Roman" w:hAnsi="Times New Roman" w:cs="Times New Roman"/>
          <w:sz w:val="28"/>
          <w:szCs w:val="28"/>
          <w:lang w:val="en-GB"/>
        </w:rPr>
        <w:t>: A cross sectional/epidemiological study of six months duration was conducted in Pakistan. Sample</w:t>
      </w:r>
      <w:r>
        <w:rPr>
          <w:rFonts w:ascii="Times New Roman" w:hAnsi="Times New Roman" w:cs="Times New Roman"/>
          <w:sz w:val="28"/>
          <w:szCs w:val="28"/>
          <w:lang w:val="en-GB"/>
        </w:rPr>
        <w:t>s were collected randomly from general population between the age group of 5 to 50 years. Serum samples were analysed for anti-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>H.Pylori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IgG, IgA &amp; IgM for the detection of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 xml:space="preserve">Helicobacter pylori </w:t>
      </w:r>
      <w:r>
        <w:rPr>
          <w:rFonts w:ascii="Times New Roman" w:hAnsi="Times New Roman" w:cs="Times New Roman"/>
          <w:sz w:val="28"/>
          <w:szCs w:val="28"/>
          <w:lang w:val="en-GB"/>
        </w:rPr>
        <w:t>infection by a non-invasive method i.e. Enzyme Linked Immunosorb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ent Assay (ELISA).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Results: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A total of 1000 samples were tested for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>H.Pylori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IgA, IgG &amp; IgM antibodies. The prevalence of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 xml:space="preserve">Helicobacter pylori </w:t>
      </w:r>
      <w:r>
        <w:rPr>
          <w:rFonts w:ascii="Times New Roman" w:hAnsi="Times New Roman" w:cs="Times New Roman"/>
          <w:sz w:val="28"/>
          <w:szCs w:val="28"/>
          <w:lang w:val="en-GB"/>
        </w:rPr>
        <w:t>IgA, IgG &amp; IgM were 13%, 67% and 31% respectively. It was also found that the population between the age 0f 18- 40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years were the most affected one. The infection rate of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>H.Pylori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was found to be high in the city of Karachi, Pakistan.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Conclusion: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This data shows a high prevalence rate of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>H.Pylori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infection in Pakistan because of contaminated water, food &amp; poor sanitar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y condition. This analyses also suggest that eradication of </w:t>
      </w:r>
      <w:r>
        <w:rPr>
          <w:rFonts w:ascii="Times New Roman" w:hAnsi="Times New Roman" w:cs="Times New Roman"/>
          <w:i/>
          <w:sz w:val="28"/>
          <w:szCs w:val="28"/>
          <w:lang w:val="en-GB"/>
        </w:rPr>
        <w:t>H.Pylori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based infections by supplying non-contaminated water is a mean of controlling gastric &amp; duodenal cancer is cost-effective in high risk population. </w:t>
      </w:r>
    </w:p>
    <w:sectPr w:rsidR="006C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46"/>
    <w:rsid w:val="004A382B"/>
    <w:rsid w:val="006C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1489</Characters>
  <Application>Microsoft Office Word</Application>
  <DocSecurity>0</DocSecurity>
  <Lines>12</Lines>
  <Paragraphs>3</Paragraphs>
  <ScaleCrop>false</ScaleCrop>
  <Company>MA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Ammar Muneer</dc:creator>
  <cp:lastModifiedBy>Muhammad Atiq</cp:lastModifiedBy>
  <cp:revision>9</cp:revision>
  <dcterms:created xsi:type="dcterms:W3CDTF">2017-01-08T05:49:00Z</dcterms:created>
  <dcterms:modified xsi:type="dcterms:W3CDTF">2018-04-09T06:31:00Z</dcterms:modified>
</cp:coreProperties>
</file>