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94063C" w14:textId="29C054CF" w:rsidR="00DD281A" w:rsidRPr="004B720A" w:rsidRDefault="004B720A" w:rsidP="006230E6">
      <w:pPr>
        <w:rPr>
          <w:rFonts w:ascii="Times New Roman" w:hAnsi="Times New Roman" w:cs="Times New Roman"/>
          <w:b/>
          <w:sz w:val="36"/>
          <w:szCs w:val="36"/>
        </w:rPr>
      </w:pPr>
      <w:r w:rsidRPr="004B720A">
        <w:rPr>
          <w:rFonts w:ascii="Times New Roman" w:hAnsi="Times New Roman" w:cs="Times New Roman"/>
          <w:b/>
          <w:sz w:val="36"/>
          <w:szCs w:val="36"/>
        </w:rPr>
        <w:t xml:space="preserve">Title: </w:t>
      </w:r>
      <w:r w:rsidR="00DD2388">
        <w:rPr>
          <w:rFonts w:ascii="Times New Roman" w:hAnsi="Times New Roman" w:cs="Times New Roman"/>
          <w:b/>
          <w:sz w:val="36"/>
          <w:szCs w:val="36"/>
        </w:rPr>
        <w:t>Interchangeability: Can this be established without switching clinical trial</w:t>
      </w:r>
      <w:r w:rsidR="00831289">
        <w:rPr>
          <w:rFonts w:ascii="Times New Roman" w:hAnsi="Times New Roman" w:cs="Times New Roman"/>
          <w:b/>
          <w:sz w:val="36"/>
          <w:szCs w:val="36"/>
        </w:rPr>
        <w:t xml:space="preserve">? </w:t>
      </w:r>
    </w:p>
    <w:p w14:paraId="37BFF9A6" w14:textId="77777777" w:rsidR="0072768F" w:rsidRPr="00616AE1" w:rsidRDefault="00616AE1" w:rsidP="006230E6">
      <w:pPr>
        <w:rPr>
          <w:rFonts w:ascii="Times New Roman" w:hAnsi="Times New Roman" w:cs="Times New Roman"/>
          <w:sz w:val="28"/>
          <w:szCs w:val="28"/>
        </w:rPr>
      </w:pPr>
      <w:r w:rsidRPr="00616AE1">
        <w:rPr>
          <w:rFonts w:ascii="Times New Roman" w:hAnsi="Times New Roman" w:cs="Times New Roman"/>
          <w:sz w:val="28"/>
          <w:szCs w:val="28"/>
        </w:rPr>
        <w:t xml:space="preserve">Presenter: Rafiq Islam, Sr. Director – </w:t>
      </w:r>
      <w:bookmarkStart w:id="0" w:name="_GoBack"/>
      <w:bookmarkEnd w:id="0"/>
      <w:r w:rsidRPr="00616AE1">
        <w:rPr>
          <w:rFonts w:ascii="Times New Roman" w:hAnsi="Times New Roman" w:cs="Times New Roman"/>
          <w:sz w:val="28"/>
          <w:szCs w:val="28"/>
        </w:rPr>
        <w:t>Celerion Inc.</w:t>
      </w:r>
    </w:p>
    <w:p w14:paraId="5AD92494" w14:textId="76C4EED6" w:rsidR="00BA503D" w:rsidRPr="00250AD0" w:rsidRDefault="00BA503D" w:rsidP="00BA50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Biologics Price competition and Innovation Act of 2009 (BPCIA) </w:t>
      </w:r>
      <w:r w:rsidR="00250AD0" w:rsidRPr="00250AD0">
        <w:rPr>
          <w:rFonts w:ascii="Times New Roman" w:hAnsi="Times New Roman" w:cs="Times New Roman"/>
          <w:sz w:val="24"/>
          <w:szCs w:val="24"/>
        </w:rPr>
        <w:t>create</w:t>
      </w:r>
      <w:r>
        <w:rPr>
          <w:rFonts w:ascii="Times New Roman" w:hAnsi="Times New Roman" w:cs="Times New Roman"/>
          <w:sz w:val="24"/>
          <w:szCs w:val="24"/>
        </w:rPr>
        <w:t>d</w:t>
      </w:r>
      <w:r w:rsidR="00250AD0" w:rsidRPr="00250AD0">
        <w:rPr>
          <w:rFonts w:ascii="Times New Roman" w:hAnsi="Times New Roman" w:cs="Times New Roman"/>
          <w:sz w:val="24"/>
          <w:szCs w:val="24"/>
        </w:rPr>
        <w:t xml:space="preserve"> an abbreviated pathway for </w:t>
      </w:r>
      <w:r w:rsidR="00C864F4">
        <w:rPr>
          <w:rFonts w:ascii="Times New Roman" w:hAnsi="Times New Roman" w:cs="Times New Roman"/>
          <w:sz w:val="24"/>
          <w:szCs w:val="24"/>
        </w:rPr>
        <w:t xml:space="preserve">the </w:t>
      </w:r>
      <w:r w:rsidR="00250AD0" w:rsidRPr="00250AD0">
        <w:rPr>
          <w:rFonts w:ascii="Times New Roman" w:hAnsi="Times New Roman" w:cs="Times New Roman"/>
          <w:sz w:val="24"/>
          <w:szCs w:val="24"/>
        </w:rPr>
        <w:t xml:space="preserve">FDA licensure of biologics that are </w:t>
      </w:r>
      <w:r>
        <w:rPr>
          <w:rFonts w:ascii="Times New Roman" w:hAnsi="Times New Roman" w:cs="Times New Roman"/>
          <w:sz w:val="24"/>
          <w:szCs w:val="24"/>
        </w:rPr>
        <w:t>“biosimilar</w:t>
      </w:r>
      <w:r w:rsidR="00E62F6E">
        <w:rPr>
          <w:rFonts w:ascii="Times New Roman" w:hAnsi="Times New Roman" w:cs="Times New Roman"/>
          <w:sz w:val="24"/>
          <w:szCs w:val="24"/>
        </w:rPr>
        <w:t xml:space="preserve">” </w:t>
      </w:r>
      <w:r w:rsidR="00E62F6E" w:rsidRPr="00250AD0">
        <w:rPr>
          <w:rFonts w:ascii="Times New Roman" w:hAnsi="Times New Roman" w:cs="Times New Roman"/>
          <w:sz w:val="24"/>
          <w:szCs w:val="24"/>
        </w:rPr>
        <w:t>or</w:t>
      </w:r>
      <w:r w:rsidR="00250AD0" w:rsidRPr="00250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250AD0" w:rsidRPr="00250AD0">
        <w:rPr>
          <w:rFonts w:ascii="Times New Roman" w:hAnsi="Times New Roman" w:cs="Times New Roman"/>
          <w:sz w:val="24"/>
          <w:szCs w:val="24"/>
        </w:rPr>
        <w:t>interchangeable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250AD0" w:rsidRPr="00250A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 USA</w:t>
      </w:r>
      <w:r w:rsidR="00C864F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approved </w:t>
      </w:r>
      <w:r w:rsidR="00250AD0" w:rsidRPr="00250AD0">
        <w:rPr>
          <w:rFonts w:ascii="Times New Roman" w:hAnsi="Times New Roman" w:cs="Times New Roman"/>
          <w:sz w:val="24"/>
          <w:szCs w:val="24"/>
        </w:rPr>
        <w:t xml:space="preserve">reference product. </w:t>
      </w:r>
      <w:r>
        <w:rPr>
          <w:rFonts w:ascii="Times New Roman" w:hAnsi="Times New Roman" w:cs="Times New Roman"/>
          <w:sz w:val="24"/>
          <w:szCs w:val="24"/>
        </w:rPr>
        <w:t>Under the act</w:t>
      </w:r>
      <w:r w:rsidR="00C864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based on subsequent FDA </w:t>
      </w:r>
      <w:proofErr w:type="spellStart"/>
      <w:r>
        <w:rPr>
          <w:rFonts w:ascii="Times New Roman" w:hAnsi="Times New Roman" w:cs="Times New Roman"/>
          <w:sz w:val="24"/>
          <w:szCs w:val="24"/>
        </w:rPr>
        <w:t>guidances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biosimilar is defined as a biologic that </w:t>
      </w:r>
      <w:r w:rsidR="00250AD0" w:rsidRPr="00250AD0">
        <w:rPr>
          <w:rFonts w:ascii="Times New Roman" w:hAnsi="Times New Roman" w:cs="Times New Roman"/>
          <w:sz w:val="24"/>
          <w:szCs w:val="24"/>
        </w:rPr>
        <w:t>is highly similar to the reference product,</w:t>
      </w:r>
      <w:r>
        <w:rPr>
          <w:rFonts w:ascii="Times New Roman" w:hAnsi="Times New Roman" w:cs="Times New Roman"/>
          <w:sz w:val="24"/>
          <w:szCs w:val="24"/>
        </w:rPr>
        <w:t xml:space="preserve"> and there </w:t>
      </w:r>
      <w:r w:rsidR="00C864F4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503D">
        <w:rPr>
          <w:rFonts w:ascii="Times New Roman" w:hAnsi="Times New Roman" w:cs="Times New Roman"/>
          <w:sz w:val="24"/>
          <w:szCs w:val="24"/>
        </w:rPr>
        <w:t>no clinically meaningful differences between the two products in terms of safety, purity and potency.</w:t>
      </w:r>
      <w:r>
        <w:rPr>
          <w:rFonts w:ascii="Times New Roman" w:hAnsi="Times New Roman" w:cs="Times New Roman"/>
          <w:sz w:val="24"/>
          <w:szCs w:val="24"/>
        </w:rPr>
        <w:t xml:space="preserve"> A biosimilar is considered </w:t>
      </w:r>
      <w:r w:rsidRPr="00250AD0">
        <w:rPr>
          <w:rFonts w:ascii="Times New Roman" w:hAnsi="Times New Roman" w:cs="Times New Roman"/>
          <w:sz w:val="24"/>
          <w:szCs w:val="24"/>
        </w:rPr>
        <w:t>interchangeable if it can be expected to produce the same clinical result as the reference product</w:t>
      </w:r>
      <w:r>
        <w:rPr>
          <w:rFonts w:ascii="Times New Roman" w:hAnsi="Times New Roman" w:cs="Times New Roman"/>
          <w:sz w:val="24"/>
          <w:szCs w:val="24"/>
        </w:rPr>
        <w:t>. It is also expected that the risk</w:t>
      </w:r>
      <w:r w:rsidR="00C864F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terms of </w:t>
      </w:r>
      <w:r w:rsidRPr="00250AD0">
        <w:rPr>
          <w:rFonts w:ascii="Times New Roman" w:hAnsi="Times New Roman" w:cs="Times New Roman"/>
          <w:sz w:val="24"/>
          <w:szCs w:val="24"/>
        </w:rPr>
        <w:t>safety or diminished efficacy</w:t>
      </w:r>
      <w:r w:rsidR="00C864F4">
        <w:rPr>
          <w:rFonts w:ascii="Times New Roman" w:hAnsi="Times New Roman" w:cs="Times New Roman"/>
          <w:sz w:val="24"/>
          <w:szCs w:val="24"/>
        </w:rPr>
        <w:t>,</w:t>
      </w:r>
      <w:r w:rsidRPr="00250AD0">
        <w:rPr>
          <w:rFonts w:ascii="Times New Roman" w:hAnsi="Times New Roman" w:cs="Times New Roman"/>
          <w:sz w:val="24"/>
          <w:szCs w:val="24"/>
        </w:rPr>
        <w:t xml:space="preserve"> of switching the two products in the same patient is no greater than when administering the reference product</w:t>
      </w:r>
      <w:r>
        <w:rPr>
          <w:rFonts w:ascii="Times New Roman" w:hAnsi="Times New Roman" w:cs="Times New Roman"/>
          <w:sz w:val="24"/>
          <w:szCs w:val="24"/>
        </w:rPr>
        <w:t xml:space="preserve"> without switching</w:t>
      </w:r>
      <w:r w:rsidRPr="00250AD0">
        <w:rPr>
          <w:rFonts w:ascii="Times New Roman" w:hAnsi="Times New Roman" w:cs="Times New Roman"/>
          <w:sz w:val="24"/>
          <w:szCs w:val="24"/>
        </w:rPr>
        <w:t xml:space="preserve">. </w:t>
      </w:r>
      <w:r w:rsidR="00372612">
        <w:rPr>
          <w:rFonts w:ascii="Times New Roman" w:hAnsi="Times New Roman" w:cs="Times New Roman"/>
          <w:sz w:val="24"/>
          <w:szCs w:val="24"/>
        </w:rPr>
        <w:t>It should be noted that only a</w:t>
      </w:r>
      <w:r w:rsidR="00C864F4">
        <w:rPr>
          <w:rFonts w:ascii="Times New Roman" w:hAnsi="Times New Roman" w:cs="Times New Roman"/>
          <w:sz w:val="24"/>
          <w:szCs w:val="24"/>
        </w:rPr>
        <w:t>n</w:t>
      </w:r>
      <w:r w:rsidR="00372612">
        <w:rPr>
          <w:rFonts w:ascii="Times New Roman" w:hAnsi="Times New Roman" w:cs="Times New Roman"/>
          <w:sz w:val="24"/>
          <w:szCs w:val="24"/>
        </w:rPr>
        <w:t xml:space="preserve"> interchangeable product </w:t>
      </w:r>
      <w:r w:rsidRPr="00250AD0">
        <w:rPr>
          <w:rFonts w:ascii="Times New Roman" w:hAnsi="Times New Roman" w:cs="Times New Roman"/>
          <w:sz w:val="24"/>
          <w:szCs w:val="24"/>
        </w:rPr>
        <w:t>may be substituted for the reference product without the intervention of the prescribing health care provider.</w:t>
      </w:r>
    </w:p>
    <w:p w14:paraId="575D2259" w14:textId="16EEB3F2" w:rsidR="00C81D4A" w:rsidRDefault="00C81D4A" w:rsidP="006230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the name of BPCIA suggest</w:t>
      </w:r>
      <w:r w:rsidR="00C864F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, t</w:t>
      </w:r>
      <w:r w:rsidR="00372612" w:rsidRPr="00372612">
        <w:rPr>
          <w:rFonts w:ascii="Times New Roman" w:hAnsi="Times New Roman" w:cs="Times New Roman"/>
          <w:sz w:val="24"/>
          <w:szCs w:val="24"/>
        </w:rPr>
        <w:t xml:space="preserve">he original intent of this regulation was to spur innovation </w:t>
      </w:r>
      <w:r>
        <w:rPr>
          <w:rFonts w:ascii="Times New Roman" w:hAnsi="Times New Roman" w:cs="Times New Roman"/>
          <w:sz w:val="24"/>
          <w:szCs w:val="24"/>
        </w:rPr>
        <w:t xml:space="preserve">which in turn will </w:t>
      </w:r>
      <w:r w:rsidR="00372612" w:rsidRPr="00372612">
        <w:rPr>
          <w:rFonts w:ascii="Times New Roman" w:hAnsi="Times New Roman" w:cs="Times New Roman"/>
          <w:sz w:val="24"/>
          <w:szCs w:val="24"/>
        </w:rPr>
        <w:t xml:space="preserve">and help bring these life-saving biologics to market quickly and </w:t>
      </w:r>
      <w:r w:rsidR="00C864F4">
        <w:rPr>
          <w:rFonts w:ascii="Times New Roman" w:hAnsi="Times New Roman" w:cs="Times New Roman"/>
          <w:sz w:val="24"/>
          <w:szCs w:val="24"/>
        </w:rPr>
        <w:t xml:space="preserve">in a </w:t>
      </w:r>
      <w:r w:rsidR="00372612" w:rsidRPr="00372612">
        <w:rPr>
          <w:rFonts w:ascii="Times New Roman" w:hAnsi="Times New Roman" w:cs="Times New Roman"/>
          <w:sz w:val="24"/>
          <w:szCs w:val="24"/>
        </w:rPr>
        <w:t>cost</w:t>
      </w:r>
      <w:r w:rsidR="00C864F4">
        <w:rPr>
          <w:rFonts w:ascii="Times New Roman" w:hAnsi="Times New Roman" w:cs="Times New Roman"/>
          <w:sz w:val="24"/>
          <w:szCs w:val="24"/>
        </w:rPr>
        <w:t>-</w:t>
      </w:r>
      <w:r w:rsidR="00372612" w:rsidRPr="00372612">
        <w:rPr>
          <w:rFonts w:ascii="Times New Roman" w:hAnsi="Times New Roman" w:cs="Times New Roman"/>
          <w:sz w:val="24"/>
          <w:szCs w:val="24"/>
        </w:rPr>
        <w:t xml:space="preserve">effective manner. </w:t>
      </w:r>
      <w:r w:rsidR="00372612">
        <w:rPr>
          <w:rFonts w:ascii="Times New Roman" w:hAnsi="Times New Roman" w:cs="Times New Roman"/>
          <w:sz w:val="24"/>
          <w:szCs w:val="24"/>
        </w:rPr>
        <w:t xml:space="preserve">Reviews of </w:t>
      </w:r>
      <w:r w:rsidR="004B4B7B">
        <w:rPr>
          <w:rFonts w:ascii="Times New Roman" w:hAnsi="Times New Roman" w:cs="Times New Roman"/>
          <w:sz w:val="24"/>
          <w:szCs w:val="24"/>
        </w:rPr>
        <w:t xml:space="preserve">the approaches used for </w:t>
      </w:r>
      <w:r w:rsidR="00372612">
        <w:rPr>
          <w:rFonts w:ascii="Times New Roman" w:hAnsi="Times New Roman" w:cs="Times New Roman"/>
          <w:sz w:val="24"/>
          <w:szCs w:val="24"/>
        </w:rPr>
        <w:t>current</w:t>
      </w:r>
      <w:r w:rsidR="00C864F4">
        <w:rPr>
          <w:rFonts w:ascii="Times New Roman" w:hAnsi="Times New Roman" w:cs="Times New Roman"/>
          <w:sz w:val="24"/>
          <w:szCs w:val="24"/>
        </w:rPr>
        <w:t>ly</w:t>
      </w:r>
      <w:r w:rsidR="00372612">
        <w:rPr>
          <w:rFonts w:ascii="Times New Roman" w:hAnsi="Times New Roman" w:cs="Times New Roman"/>
          <w:sz w:val="24"/>
          <w:szCs w:val="24"/>
        </w:rPr>
        <w:t xml:space="preserve"> approved biosimilars suggest that </w:t>
      </w:r>
      <w:r w:rsidR="00372612" w:rsidRPr="00372612">
        <w:rPr>
          <w:rFonts w:ascii="Times New Roman" w:hAnsi="Times New Roman" w:cs="Times New Roman"/>
          <w:sz w:val="24"/>
          <w:szCs w:val="24"/>
        </w:rPr>
        <w:t>most manufacturer</w:t>
      </w:r>
      <w:r w:rsidR="00C864F4">
        <w:rPr>
          <w:rFonts w:ascii="Times New Roman" w:hAnsi="Times New Roman" w:cs="Times New Roman"/>
          <w:sz w:val="24"/>
          <w:szCs w:val="24"/>
        </w:rPr>
        <w:t>s</w:t>
      </w:r>
      <w:r w:rsidR="00372612" w:rsidRPr="00372612">
        <w:rPr>
          <w:rFonts w:ascii="Times New Roman" w:hAnsi="Times New Roman" w:cs="Times New Roman"/>
          <w:sz w:val="24"/>
          <w:szCs w:val="24"/>
        </w:rPr>
        <w:t xml:space="preserve"> utiliz</w:t>
      </w:r>
      <w:r w:rsidR="00C864F4">
        <w:rPr>
          <w:rFonts w:ascii="Times New Roman" w:hAnsi="Times New Roman" w:cs="Times New Roman"/>
          <w:sz w:val="24"/>
          <w:szCs w:val="24"/>
        </w:rPr>
        <w:t>e</w:t>
      </w:r>
      <w:r w:rsidR="00372612" w:rsidRPr="00372612">
        <w:rPr>
          <w:rFonts w:ascii="Times New Roman" w:hAnsi="Times New Roman" w:cs="Times New Roman"/>
          <w:sz w:val="24"/>
          <w:szCs w:val="24"/>
        </w:rPr>
        <w:t xml:space="preserve"> </w:t>
      </w:r>
      <w:r w:rsidR="00643B0C" w:rsidRPr="00372612">
        <w:rPr>
          <w:rFonts w:ascii="Times New Roman" w:hAnsi="Times New Roman" w:cs="Times New Roman"/>
          <w:sz w:val="24"/>
          <w:szCs w:val="24"/>
        </w:rPr>
        <w:t>traditional</w:t>
      </w:r>
      <w:r w:rsidR="00643B0C">
        <w:rPr>
          <w:rFonts w:ascii="Times New Roman" w:hAnsi="Times New Roman" w:cs="Times New Roman"/>
          <w:sz w:val="24"/>
          <w:szCs w:val="24"/>
        </w:rPr>
        <w:t xml:space="preserve"> </w:t>
      </w:r>
      <w:r w:rsidR="00643B0C" w:rsidRPr="00372612">
        <w:rPr>
          <w:rFonts w:ascii="Times New Roman" w:hAnsi="Times New Roman" w:cs="Times New Roman"/>
          <w:sz w:val="24"/>
          <w:szCs w:val="24"/>
        </w:rPr>
        <w:t>technologies</w:t>
      </w:r>
      <w:r w:rsidR="00372612" w:rsidRPr="00372612">
        <w:rPr>
          <w:rFonts w:ascii="Times New Roman" w:hAnsi="Times New Roman" w:cs="Times New Roman"/>
          <w:sz w:val="24"/>
          <w:szCs w:val="24"/>
        </w:rPr>
        <w:t xml:space="preserve"> and processes to bring these drugs to market. </w:t>
      </w:r>
      <w:r>
        <w:rPr>
          <w:rFonts w:ascii="Times New Roman" w:hAnsi="Times New Roman" w:cs="Times New Roman"/>
          <w:sz w:val="24"/>
          <w:szCs w:val="24"/>
        </w:rPr>
        <w:t>The result is</w:t>
      </w:r>
      <w:r w:rsidR="00C864F4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long approval time and modest savings.  </w:t>
      </w:r>
    </w:p>
    <w:p w14:paraId="2AFB8F58" w14:textId="5E7A0E59" w:rsidR="00C81D4A" w:rsidRDefault="004B4B7B" w:rsidP="006230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order to realize </w:t>
      </w:r>
      <w:r w:rsidR="00326CD8">
        <w:rPr>
          <w:rFonts w:ascii="Times New Roman" w:hAnsi="Times New Roman" w:cs="Times New Roman"/>
          <w:sz w:val="24"/>
          <w:szCs w:val="24"/>
        </w:rPr>
        <w:t>the true benefit from biosimila</w:t>
      </w:r>
      <w:r>
        <w:rPr>
          <w:rFonts w:ascii="Times New Roman" w:hAnsi="Times New Roman" w:cs="Times New Roman"/>
          <w:sz w:val="24"/>
          <w:szCs w:val="24"/>
        </w:rPr>
        <w:t xml:space="preserve">r or interchangeable products, we need innovation. We also need, as stated by Dr. </w:t>
      </w:r>
      <w:r w:rsidRPr="004B4B7B">
        <w:rPr>
          <w:rFonts w:ascii="Times New Roman" w:hAnsi="Times New Roman" w:cs="Times New Roman"/>
          <w:sz w:val="24"/>
          <w:szCs w:val="24"/>
        </w:rPr>
        <w:t>Steven Kozlowski, M.D.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4B7B">
        <w:rPr>
          <w:rFonts w:ascii="Times New Roman" w:hAnsi="Times New Roman" w:cs="Times New Roman"/>
          <w:sz w:val="24"/>
          <w:szCs w:val="24"/>
        </w:rPr>
        <w:t>Director, Office of Biotechnology Products</w:t>
      </w:r>
      <w:r>
        <w:rPr>
          <w:rFonts w:ascii="Times New Roman" w:hAnsi="Times New Roman" w:cs="Times New Roman"/>
          <w:sz w:val="24"/>
          <w:szCs w:val="24"/>
        </w:rPr>
        <w:t>, FDA,</w:t>
      </w:r>
      <w:r w:rsidR="00C81D4A" w:rsidRPr="00C81D4A">
        <w:rPr>
          <w:rFonts w:ascii="Times New Roman" w:hAnsi="Times New Roman" w:cs="Times New Roman"/>
          <w:b/>
          <w:sz w:val="24"/>
          <w:szCs w:val="24"/>
        </w:rPr>
        <w:t xml:space="preserve"> “cultural and cognitive transformation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C81D4A" w:rsidRPr="00C81D4A">
        <w:rPr>
          <w:rFonts w:ascii="Times New Roman" w:hAnsi="Times New Roman" w:cs="Times New Roman"/>
          <w:sz w:val="24"/>
          <w:szCs w:val="24"/>
        </w:rPr>
        <w:t>”</w:t>
      </w:r>
    </w:p>
    <w:p w14:paraId="0FB6E2BC" w14:textId="159F381B" w:rsidR="00F5741C" w:rsidRPr="004B720A" w:rsidRDefault="00616AE1" w:rsidP="00E72EDB">
      <w:pPr>
        <w:rPr>
          <w:rFonts w:ascii="Times New Roman" w:hAnsi="Times New Roman" w:cs="Times New Roman"/>
          <w:sz w:val="24"/>
          <w:szCs w:val="24"/>
        </w:rPr>
      </w:pPr>
      <w:r w:rsidRPr="00616AE1">
        <w:rPr>
          <w:rFonts w:ascii="Times New Roman" w:hAnsi="Times New Roman" w:cs="Times New Roman"/>
          <w:sz w:val="24"/>
          <w:szCs w:val="24"/>
        </w:rPr>
        <w:t>This presentation will make a case for using fingerprinting</w:t>
      </w:r>
      <w:r w:rsidR="00C864F4">
        <w:rPr>
          <w:rFonts w:ascii="Times New Roman" w:hAnsi="Times New Roman" w:cs="Times New Roman"/>
          <w:sz w:val="24"/>
          <w:szCs w:val="24"/>
        </w:rPr>
        <w:t>-</w:t>
      </w:r>
      <w:r w:rsidRPr="00616AE1">
        <w:rPr>
          <w:rFonts w:ascii="Times New Roman" w:hAnsi="Times New Roman" w:cs="Times New Roman"/>
          <w:sz w:val="24"/>
          <w:szCs w:val="24"/>
        </w:rPr>
        <w:t xml:space="preserve">like biosimilarity tool combined with </w:t>
      </w:r>
      <w:r w:rsidR="00C864F4">
        <w:rPr>
          <w:rFonts w:ascii="Times New Roman" w:hAnsi="Times New Roman" w:cs="Times New Roman"/>
          <w:sz w:val="24"/>
          <w:szCs w:val="24"/>
        </w:rPr>
        <w:t xml:space="preserve">a </w:t>
      </w:r>
      <w:r w:rsidRPr="00616AE1">
        <w:rPr>
          <w:rFonts w:ascii="Times New Roman" w:hAnsi="Times New Roman" w:cs="Times New Roman"/>
          <w:sz w:val="24"/>
          <w:szCs w:val="24"/>
        </w:rPr>
        <w:t xml:space="preserve">predictive immunogenicity solution </w:t>
      </w:r>
      <w:r w:rsidR="00C864F4">
        <w:rPr>
          <w:rFonts w:ascii="Times New Roman" w:hAnsi="Times New Roman" w:cs="Times New Roman"/>
          <w:sz w:val="24"/>
          <w:szCs w:val="24"/>
        </w:rPr>
        <w:t>using</w:t>
      </w:r>
      <w:r w:rsidR="00C864F4" w:rsidRPr="00616AE1">
        <w:rPr>
          <w:rFonts w:ascii="Times New Roman" w:hAnsi="Times New Roman" w:cs="Times New Roman"/>
          <w:sz w:val="24"/>
          <w:szCs w:val="24"/>
        </w:rPr>
        <w:t xml:space="preserve"> </w:t>
      </w:r>
      <w:r w:rsidRPr="00616AE1">
        <w:rPr>
          <w:rFonts w:ascii="Times New Roman" w:hAnsi="Times New Roman" w:cs="Times New Roman"/>
          <w:sz w:val="24"/>
          <w:szCs w:val="24"/>
        </w:rPr>
        <w:t xml:space="preserve">state of the art data modeling to demonstrate </w:t>
      </w:r>
      <w:r w:rsidR="00C864F4">
        <w:rPr>
          <w:rFonts w:ascii="Times New Roman" w:hAnsi="Times New Roman" w:cs="Times New Roman"/>
          <w:sz w:val="24"/>
          <w:szCs w:val="24"/>
        </w:rPr>
        <w:t xml:space="preserve">the </w:t>
      </w:r>
      <w:r w:rsidRPr="00616AE1">
        <w:rPr>
          <w:rFonts w:ascii="Times New Roman" w:hAnsi="Times New Roman" w:cs="Times New Roman"/>
          <w:sz w:val="24"/>
          <w:szCs w:val="24"/>
        </w:rPr>
        <w:t xml:space="preserve">interchangeability of an approved biosimilars product without any additional clinical trial.  A case study using bevacizumab will be utilized to demonstrate biosimilarity and interchangeability. </w:t>
      </w:r>
    </w:p>
    <w:sectPr w:rsidR="00F5741C" w:rsidRPr="004B720A" w:rsidSect="00250AD0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9C285F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9C285F8" w16cid:durableId="1E6CC10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01F14E" w14:textId="77777777" w:rsidR="008B1AF6" w:rsidRDefault="008B1AF6" w:rsidP="004B720A">
      <w:pPr>
        <w:spacing w:after="0" w:line="240" w:lineRule="auto"/>
      </w:pPr>
      <w:r>
        <w:separator/>
      </w:r>
    </w:p>
  </w:endnote>
  <w:endnote w:type="continuationSeparator" w:id="0">
    <w:p w14:paraId="2AD922F2" w14:textId="77777777" w:rsidR="008B1AF6" w:rsidRDefault="008B1AF6" w:rsidP="004B7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9209C9" w14:textId="77777777" w:rsidR="008B1AF6" w:rsidRDefault="008B1AF6" w:rsidP="004B720A">
      <w:pPr>
        <w:spacing w:after="0" w:line="240" w:lineRule="auto"/>
      </w:pPr>
      <w:r>
        <w:separator/>
      </w:r>
    </w:p>
  </w:footnote>
  <w:footnote w:type="continuationSeparator" w:id="0">
    <w:p w14:paraId="74615B33" w14:textId="77777777" w:rsidR="008B1AF6" w:rsidRDefault="008B1AF6" w:rsidP="004B7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54218"/>
    <w:multiLevelType w:val="hybridMultilevel"/>
    <w:tmpl w:val="95DA4984"/>
    <w:lvl w:ilvl="0" w:tplc="D88037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D834C9"/>
    <w:multiLevelType w:val="hybridMultilevel"/>
    <w:tmpl w:val="E1865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FB4B2F"/>
    <w:multiLevelType w:val="hybridMultilevel"/>
    <w:tmpl w:val="4030F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larinda Islam">
    <w15:presenceInfo w15:providerId="Windows Live" w15:userId="0a827fcfc3cd729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4E"/>
    <w:rsid w:val="00037F5B"/>
    <w:rsid w:val="00046B0F"/>
    <w:rsid w:val="00062096"/>
    <w:rsid w:val="00094E42"/>
    <w:rsid w:val="000A4511"/>
    <w:rsid w:val="000C19AE"/>
    <w:rsid w:val="0011436C"/>
    <w:rsid w:val="00120831"/>
    <w:rsid w:val="001412E0"/>
    <w:rsid w:val="00150492"/>
    <w:rsid w:val="00173240"/>
    <w:rsid w:val="001F6C80"/>
    <w:rsid w:val="00226317"/>
    <w:rsid w:val="00250AD0"/>
    <w:rsid w:val="002A67C8"/>
    <w:rsid w:val="002B4ABC"/>
    <w:rsid w:val="00306C06"/>
    <w:rsid w:val="00311BC8"/>
    <w:rsid w:val="003255DE"/>
    <w:rsid w:val="00326CD8"/>
    <w:rsid w:val="00332890"/>
    <w:rsid w:val="003562D9"/>
    <w:rsid w:val="00361A84"/>
    <w:rsid w:val="00366A1A"/>
    <w:rsid w:val="00372612"/>
    <w:rsid w:val="00392CD2"/>
    <w:rsid w:val="004149D2"/>
    <w:rsid w:val="00445BD7"/>
    <w:rsid w:val="004B4B7B"/>
    <w:rsid w:val="004B5AAA"/>
    <w:rsid w:val="004B720A"/>
    <w:rsid w:val="00506FD2"/>
    <w:rsid w:val="0053045C"/>
    <w:rsid w:val="00546E65"/>
    <w:rsid w:val="0055112F"/>
    <w:rsid w:val="005616B3"/>
    <w:rsid w:val="005660BA"/>
    <w:rsid w:val="00582076"/>
    <w:rsid w:val="005979BB"/>
    <w:rsid w:val="005A6A64"/>
    <w:rsid w:val="005D587D"/>
    <w:rsid w:val="005E6686"/>
    <w:rsid w:val="005E7013"/>
    <w:rsid w:val="00616AE1"/>
    <w:rsid w:val="006203B0"/>
    <w:rsid w:val="006230E6"/>
    <w:rsid w:val="00643B0C"/>
    <w:rsid w:val="00653518"/>
    <w:rsid w:val="00667843"/>
    <w:rsid w:val="00697A80"/>
    <w:rsid w:val="006A617E"/>
    <w:rsid w:val="00700271"/>
    <w:rsid w:val="00711ED2"/>
    <w:rsid w:val="0072768F"/>
    <w:rsid w:val="007366A2"/>
    <w:rsid w:val="00797477"/>
    <w:rsid w:val="007D244E"/>
    <w:rsid w:val="007D6A13"/>
    <w:rsid w:val="0080458B"/>
    <w:rsid w:val="00806EA3"/>
    <w:rsid w:val="00831289"/>
    <w:rsid w:val="0083147D"/>
    <w:rsid w:val="00856DB1"/>
    <w:rsid w:val="008903DC"/>
    <w:rsid w:val="00892F5A"/>
    <w:rsid w:val="008A2AC5"/>
    <w:rsid w:val="008B1AF6"/>
    <w:rsid w:val="008E4C96"/>
    <w:rsid w:val="009339DD"/>
    <w:rsid w:val="009522B3"/>
    <w:rsid w:val="00954F16"/>
    <w:rsid w:val="00956FB5"/>
    <w:rsid w:val="009F089C"/>
    <w:rsid w:val="00A264CE"/>
    <w:rsid w:val="00B026E2"/>
    <w:rsid w:val="00B165ED"/>
    <w:rsid w:val="00B20566"/>
    <w:rsid w:val="00B2792B"/>
    <w:rsid w:val="00B73828"/>
    <w:rsid w:val="00BA503D"/>
    <w:rsid w:val="00BB0196"/>
    <w:rsid w:val="00BB1D2D"/>
    <w:rsid w:val="00BC1094"/>
    <w:rsid w:val="00BD2AC5"/>
    <w:rsid w:val="00BD3EA5"/>
    <w:rsid w:val="00C00565"/>
    <w:rsid w:val="00C34422"/>
    <w:rsid w:val="00C40627"/>
    <w:rsid w:val="00C41A82"/>
    <w:rsid w:val="00C746E8"/>
    <w:rsid w:val="00C81D4A"/>
    <w:rsid w:val="00C82707"/>
    <w:rsid w:val="00C864F4"/>
    <w:rsid w:val="00D1797F"/>
    <w:rsid w:val="00D77EE9"/>
    <w:rsid w:val="00D806C0"/>
    <w:rsid w:val="00D8154E"/>
    <w:rsid w:val="00DB55F8"/>
    <w:rsid w:val="00DD2388"/>
    <w:rsid w:val="00DD281A"/>
    <w:rsid w:val="00E22337"/>
    <w:rsid w:val="00E37689"/>
    <w:rsid w:val="00E4759E"/>
    <w:rsid w:val="00E5786C"/>
    <w:rsid w:val="00E62F6E"/>
    <w:rsid w:val="00E72EDB"/>
    <w:rsid w:val="00EB675E"/>
    <w:rsid w:val="00F2558C"/>
    <w:rsid w:val="00F5741C"/>
    <w:rsid w:val="00F6170D"/>
    <w:rsid w:val="00FB393D"/>
    <w:rsid w:val="00FB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6368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5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7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20A"/>
  </w:style>
  <w:style w:type="paragraph" w:styleId="Footer">
    <w:name w:val="footer"/>
    <w:basedOn w:val="Normal"/>
    <w:link w:val="FooterChar"/>
    <w:uiPriority w:val="99"/>
    <w:unhideWhenUsed/>
    <w:rsid w:val="004B7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20A"/>
  </w:style>
  <w:style w:type="character" w:styleId="LineNumber">
    <w:name w:val="line number"/>
    <w:basedOn w:val="DefaultParagraphFont"/>
    <w:uiPriority w:val="99"/>
    <w:semiHidden/>
    <w:unhideWhenUsed/>
    <w:rsid w:val="00250AD0"/>
  </w:style>
  <w:style w:type="paragraph" w:styleId="BalloonText">
    <w:name w:val="Balloon Text"/>
    <w:basedOn w:val="Normal"/>
    <w:link w:val="BalloonTextChar"/>
    <w:uiPriority w:val="99"/>
    <w:semiHidden/>
    <w:unhideWhenUsed/>
    <w:rsid w:val="00392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CD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06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6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6F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FD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5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7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20A"/>
  </w:style>
  <w:style w:type="paragraph" w:styleId="Footer">
    <w:name w:val="footer"/>
    <w:basedOn w:val="Normal"/>
    <w:link w:val="FooterChar"/>
    <w:uiPriority w:val="99"/>
    <w:unhideWhenUsed/>
    <w:rsid w:val="004B7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20A"/>
  </w:style>
  <w:style w:type="character" w:styleId="LineNumber">
    <w:name w:val="line number"/>
    <w:basedOn w:val="DefaultParagraphFont"/>
    <w:uiPriority w:val="99"/>
    <w:semiHidden/>
    <w:unhideWhenUsed/>
    <w:rsid w:val="00250AD0"/>
  </w:style>
  <w:style w:type="paragraph" w:styleId="BalloonText">
    <w:name w:val="Balloon Text"/>
    <w:basedOn w:val="Normal"/>
    <w:link w:val="BalloonTextChar"/>
    <w:uiPriority w:val="99"/>
    <w:semiHidden/>
    <w:unhideWhenUsed/>
    <w:rsid w:val="00392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CD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06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6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6F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F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Celerion Inc.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Islam, Rafiqul</dc:creator>
  <cp:lastModifiedBy>Islam, Rafiqul</cp:lastModifiedBy>
  <cp:revision>2</cp:revision>
  <dcterms:created xsi:type="dcterms:W3CDTF">2018-04-02T20:03:00Z</dcterms:created>
  <dcterms:modified xsi:type="dcterms:W3CDTF">2018-04-02T20:03:00Z</dcterms:modified>
</cp:coreProperties>
</file>