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514" w:rsidRPr="00FB5D79" w:rsidRDefault="00FB5D79" w:rsidP="00FB5D79">
      <w:pPr>
        <w:spacing w:before="47" w:line="400" w:lineRule="exact"/>
        <w:ind w:left="100"/>
        <w:jc w:val="center"/>
        <w:rPr>
          <w:rFonts w:ascii="Minion Pro"/>
          <w:b/>
          <w:color w:val="4F81BD" w:themeColor="accent1"/>
          <w:sz w:val="36"/>
        </w:rPr>
      </w:pPr>
      <w:bookmarkStart w:id="0" w:name="_GoBack"/>
      <w:bookmarkEnd w:id="0"/>
      <w:proofErr w:type="spellStart"/>
      <w:r w:rsidRPr="00FB5D79">
        <w:rPr>
          <w:rFonts w:eastAsia="MS PGothic"/>
          <w:b/>
          <w:color w:val="4F81BD" w:themeColor="accent1"/>
          <w:sz w:val="28"/>
          <w:szCs w:val="28"/>
        </w:rPr>
        <w:t>RetroSPective</w:t>
      </w:r>
      <w:proofErr w:type="spellEnd"/>
      <w:r w:rsidRPr="00FB5D79">
        <w:rPr>
          <w:rFonts w:eastAsia="MS PGothic"/>
          <w:b/>
          <w:color w:val="4F81BD" w:themeColor="accent1"/>
          <w:sz w:val="28"/>
          <w:szCs w:val="28"/>
        </w:rPr>
        <w:t xml:space="preserve"> Efficacy and Safety Analysis of </w:t>
      </w:r>
      <w:proofErr w:type="spellStart"/>
      <w:r w:rsidRPr="00FB5D79">
        <w:rPr>
          <w:rFonts w:eastAsia="MS PGothic"/>
          <w:b/>
          <w:color w:val="4F81BD" w:themeColor="accent1"/>
          <w:sz w:val="28"/>
          <w:szCs w:val="28"/>
        </w:rPr>
        <w:t>Zybev</w:t>
      </w:r>
      <w:proofErr w:type="spellEnd"/>
      <w:r w:rsidRPr="00FB5D79">
        <w:rPr>
          <w:rFonts w:eastAsia="MS PGothic"/>
          <w:b/>
          <w:color w:val="4F81BD" w:themeColor="accent1"/>
          <w:sz w:val="28"/>
          <w:szCs w:val="28"/>
        </w:rPr>
        <w:t xml:space="preserve"> (</w:t>
      </w:r>
      <w:proofErr w:type="spellStart"/>
      <w:r w:rsidRPr="00FB5D79">
        <w:rPr>
          <w:rFonts w:eastAsia="MS PGothic"/>
          <w:b/>
          <w:color w:val="4F81BD" w:themeColor="accent1"/>
          <w:sz w:val="28"/>
          <w:szCs w:val="28"/>
        </w:rPr>
        <w:t>Biosimilar</w:t>
      </w:r>
      <w:proofErr w:type="spellEnd"/>
      <w:r w:rsidRPr="00FB5D79">
        <w:rPr>
          <w:rFonts w:eastAsia="MS PGothic"/>
          <w:b/>
          <w:color w:val="4F81BD" w:themeColor="accent1"/>
          <w:sz w:val="28"/>
          <w:szCs w:val="28"/>
        </w:rPr>
        <w:t xml:space="preserve"> of </w:t>
      </w:r>
      <w:proofErr w:type="spellStart"/>
      <w:r w:rsidRPr="00FB5D79">
        <w:rPr>
          <w:rFonts w:eastAsia="MS PGothic"/>
          <w:b/>
          <w:color w:val="4F81BD" w:themeColor="accent1"/>
          <w:sz w:val="28"/>
          <w:szCs w:val="28"/>
        </w:rPr>
        <w:t>Bevacizumab</w:t>
      </w:r>
      <w:proofErr w:type="spellEnd"/>
      <w:r w:rsidRPr="00FB5D79">
        <w:rPr>
          <w:rFonts w:eastAsia="MS PGothic"/>
          <w:b/>
          <w:color w:val="4F81BD" w:themeColor="accent1"/>
          <w:sz w:val="28"/>
          <w:szCs w:val="28"/>
        </w:rPr>
        <w:t xml:space="preserve">) use at Tertiary eye Care </w:t>
      </w:r>
      <w:proofErr w:type="spellStart"/>
      <w:r w:rsidRPr="00FB5D79">
        <w:rPr>
          <w:rFonts w:eastAsia="MS PGothic"/>
          <w:b/>
          <w:color w:val="4F81BD" w:themeColor="accent1"/>
          <w:sz w:val="28"/>
          <w:szCs w:val="28"/>
        </w:rPr>
        <w:t>cenTRes</w:t>
      </w:r>
      <w:proofErr w:type="spellEnd"/>
      <w:r w:rsidRPr="00FB5D79">
        <w:rPr>
          <w:rFonts w:eastAsia="MS PGothic"/>
          <w:b/>
          <w:color w:val="4F81BD" w:themeColor="accent1"/>
          <w:sz w:val="28"/>
          <w:szCs w:val="28"/>
        </w:rPr>
        <w:t xml:space="preserve"> in </w:t>
      </w:r>
      <w:proofErr w:type="spellStart"/>
      <w:r w:rsidRPr="00FB5D79">
        <w:rPr>
          <w:rFonts w:eastAsia="MS PGothic"/>
          <w:b/>
          <w:color w:val="4F81BD" w:themeColor="accent1"/>
          <w:sz w:val="28"/>
          <w:szCs w:val="28"/>
        </w:rPr>
        <w:t>IndiA</w:t>
      </w:r>
      <w:proofErr w:type="spellEnd"/>
      <w:r w:rsidRPr="00FB5D79">
        <w:rPr>
          <w:rFonts w:eastAsia="MS PGothic"/>
          <w:b/>
          <w:color w:val="4F81BD" w:themeColor="accent1"/>
          <w:sz w:val="28"/>
          <w:szCs w:val="28"/>
        </w:rPr>
        <w:t>: SPECTRA Study</w:t>
      </w:r>
    </w:p>
    <w:p w:rsidR="00C63514" w:rsidRDefault="00FB5D79" w:rsidP="00C63514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 Sandesh Warudkar</w:t>
      </w:r>
    </w:p>
    <w:p w:rsidR="00C63514" w:rsidRDefault="00C63514" w:rsidP="00C63514">
      <w:pPr>
        <w:pStyle w:val="BodyText"/>
        <w:spacing w:before="3"/>
        <w:rPr>
          <w:rFonts w:ascii="Arial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32704EF" wp14:editId="2AF50BC8">
                <wp:simplePos x="0" y="0"/>
                <wp:positionH relativeFrom="page">
                  <wp:posOffset>3853815</wp:posOffset>
                </wp:positionH>
                <wp:positionV relativeFrom="paragraph">
                  <wp:posOffset>244475</wp:posOffset>
                </wp:positionV>
                <wp:extent cx="3251200" cy="0"/>
                <wp:effectExtent l="15240" t="19685" r="19685" b="18415"/>
                <wp:wrapTopAndBottom/>
                <wp:docPr id="1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1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45pt,19.25pt" to="559.4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" strokecolor="#004080" strokeweight="2pt">
                <w10:wrap type="topAndBottom" anchorx="page"/>
              </v:line>
            </w:pict>
          </mc:Fallback>
        </mc:AlternateContent>
      </w:r>
    </w:p>
    <w:p w:rsidR="00C63514" w:rsidRDefault="00C63514" w:rsidP="00C63514">
      <w:pPr>
        <w:rPr>
          <w:rFonts w:ascii="Arial"/>
          <w:sz w:val="28"/>
        </w:rPr>
        <w:sectPr w:rsidR="00C63514">
          <w:pgSz w:w="11910" w:h="16840"/>
          <w:pgMar w:top="1740" w:right="580" w:bottom="840" w:left="620" w:header="541" w:footer="642" w:gutter="0"/>
          <w:cols w:space="720"/>
        </w:sectPr>
      </w:pPr>
    </w:p>
    <w:p w:rsidR="00C63514" w:rsidRDefault="00FB5D79" w:rsidP="00C63514">
      <w:pPr>
        <w:pStyle w:val="Heading3"/>
        <w:spacing w:line="218" w:lineRule="exact"/>
        <w:jc w:val="both"/>
        <w:rPr>
          <w:color w:val="BF5A14"/>
        </w:rPr>
      </w:pPr>
      <w:r>
        <w:rPr>
          <w:rFonts w:eastAsia="MS PGothic"/>
          <w:noProof/>
          <w:color w:val="000000"/>
          <w:sz w:val="14"/>
          <w:szCs w:val="14"/>
        </w:rPr>
        <w:lastRenderedPageBreak/>
        <w:drawing>
          <wp:anchor distT="0" distB="0" distL="114300" distR="114300" simplePos="0" relativeHeight="251660288" behindDoc="0" locked="0" layoutInCell="1" allowOverlap="1" wp14:anchorId="4F7DFBC4" wp14:editId="2F3078D4">
            <wp:simplePos x="0" y="0"/>
            <wp:positionH relativeFrom="margin">
              <wp:posOffset>3503930</wp:posOffset>
            </wp:positionH>
            <wp:positionV relativeFrom="margin">
              <wp:posOffset>1108710</wp:posOffset>
            </wp:positionV>
            <wp:extent cx="646430" cy="862330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204_13410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3514">
        <w:rPr>
          <w:color w:val="BF5A14"/>
        </w:rPr>
        <w:t>Abstract</w:t>
      </w:r>
      <w:r w:rsidR="00455417">
        <w:rPr>
          <w:color w:val="BF5A14"/>
        </w:rPr>
        <w:t xml:space="preserve"> (Word Limit: 300)</w:t>
      </w:r>
    </w:p>
    <w:p w:rsidR="00FB5D79" w:rsidRDefault="00FB5D79" w:rsidP="00C63514">
      <w:pPr>
        <w:pStyle w:val="Heading3"/>
        <w:spacing w:line="218" w:lineRule="exact"/>
        <w:jc w:val="both"/>
      </w:pPr>
    </w:p>
    <w:p w:rsidR="00FB5D79" w:rsidRPr="00FB5D79" w:rsidRDefault="00FB5D79" w:rsidP="00FB5D79">
      <w:pPr>
        <w:autoSpaceDE w:val="0"/>
        <w:autoSpaceDN w:val="0"/>
        <w:adjustRightInd w:val="0"/>
        <w:rPr>
          <w:rFonts w:ascii="Tw Cen MT" w:eastAsia="MS PGothic" w:hAnsi="Tw Cen MT"/>
          <w:color w:val="000000"/>
          <w:sz w:val="18"/>
          <w:szCs w:val="18"/>
        </w:rPr>
      </w:pPr>
      <w:r>
        <w:rPr>
          <w:rFonts w:ascii="Tw Cen MT" w:eastAsia="MS PGothic" w:hAnsi="Tw Cen MT"/>
          <w:color w:val="000000"/>
          <w:sz w:val="18"/>
          <w:szCs w:val="18"/>
        </w:rPr>
        <w:t xml:space="preserve">Purpose: </w:t>
      </w:r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The purpose of this study was to evaluate the efficacy and safety profile of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intravitreal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injection of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bevacizumab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biosimilar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(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Zybev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) for various retinal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neovascular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conditions. </w:t>
      </w:r>
    </w:p>
    <w:p w:rsidR="00FB5D79" w:rsidRPr="00FB5D79" w:rsidRDefault="00FB5D79" w:rsidP="00FB5D79">
      <w:pPr>
        <w:autoSpaceDE w:val="0"/>
        <w:autoSpaceDN w:val="0"/>
        <w:adjustRightInd w:val="0"/>
        <w:rPr>
          <w:rFonts w:ascii="Tw Cen MT" w:eastAsia="MS PGothic" w:hAnsi="Tw Cen MT"/>
          <w:color w:val="000000"/>
          <w:sz w:val="18"/>
          <w:szCs w:val="18"/>
        </w:rPr>
      </w:pPr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Methods: Retrospective analysis was carried out on 108 injections which were administered with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intravitreal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Zybev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injection at different tertiary eye care centers in India. The injections were administered for various indications such as wet age</w:t>
      </w:r>
      <w:r w:rsidRPr="00FB5D79">
        <w:rPr>
          <w:rFonts w:ascii="Cambria Math" w:eastAsia="MS PGothic" w:hAnsi="Cambria Math" w:cs="Cambria Math"/>
          <w:color w:val="000000"/>
          <w:sz w:val="18"/>
          <w:szCs w:val="18"/>
        </w:rPr>
        <w:t>‑</w:t>
      </w:r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related macular degeneration (AMD), diabetic macular edema (DME), and retinal vein occlusion (RVO). </w:t>
      </w:r>
    </w:p>
    <w:p w:rsidR="00FB5D79" w:rsidRPr="00FB5D79" w:rsidRDefault="00FB5D79" w:rsidP="00FB5D79">
      <w:pPr>
        <w:autoSpaceDE w:val="0"/>
        <w:autoSpaceDN w:val="0"/>
        <w:adjustRightInd w:val="0"/>
        <w:rPr>
          <w:rFonts w:ascii="Tw Cen MT" w:eastAsia="MS PGothic" w:hAnsi="Tw Cen MT"/>
          <w:color w:val="000000"/>
          <w:sz w:val="18"/>
          <w:szCs w:val="18"/>
        </w:rPr>
      </w:pPr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Results: The mean age of the patients was 62.7 ± 8.40 years. A total of 61.1% injections were administered to men and 39.9% to women.  The indications for which the injection was administered were DME (43.6%), wet AMD (28.7 %), and RVO (27.7%). Mean pretreatment BCVA was 0.94 ± 0.29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logMAR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with CMT 355.76 ± 54.9 </w:t>
      </w:r>
      <w:proofErr w:type="spellStart"/>
      <w:r w:rsidRPr="00FB5D79">
        <w:rPr>
          <w:rFonts w:ascii="Arial" w:eastAsia="MS PGothic" w:hAnsi="Arial" w:cs="Arial"/>
          <w:color w:val="000000"/>
          <w:sz w:val="18"/>
          <w:szCs w:val="18"/>
        </w:rPr>
        <w:t>μ</w:t>
      </w:r>
      <w:r w:rsidRPr="00FB5D79">
        <w:rPr>
          <w:rFonts w:ascii="Tw Cen MT" w:eastAsia="MS PGothic" w:hAnsi="Tw Cen MT"/>
          <w:color w:val="000000"/>
          <w:sz w:val="18"/>
          <w:szCs w:val="18"/>
        </w:rPr>
        <w:t>m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and post injection BCVA at day 30 was 0.81 </w:t>
      </w:r>
      <w:r w:rsidRPr="00FB5D79">
        <w:rPr>
          <w:rFonts w:ascii="Tw Cen MT" w:eastAsia="MS PGothic" w:hAnsi="Tw Cen MT" w:cs="Tw Cen MT"/>
          <w:color w:val="000000"/>
          <w:sz w:val="18"/>
          <w:szCs w:val="18"/>
        </w:rPr>
        <w:t>±</w:t>
      </w:r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0.26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logMAR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with CMT reducing to 292.20 </w:t>
      </w:r>
      <w:r w:rsidRPr="00FB5D79">
        <w:rPr>
          <w:rFonts w:ascii="Tw Cen MT" w:eastAsia="MS PGothic" w:hAnsi="Tw Cen MT" w:cs="Tw Cen MT"/>
          <w:color w:val="000000"/>
          <w:sz w:val="18"/>
          <w:szCs w:val="18"/>
        </w:rPr>
        <w:t>±</w:t>
      </w:r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40.81 </w:t>
      </w:r>
      <w:proofErr w:type="spellStart"/>
      <w:r w:rsidRPr="00FB5D79">
        <w:rPr>
          <w:rFonts w:ascii="Arial" w:eastAsia="MS PGothic" w:hAnsi="Arial" w:cs="Arial"/>
          <w:color w:val="000000"/>
          <w:sz w:val="18"/>
          <w:szCs w:val="18"/>
        </w:rPr>
        <w:t>μ</w:t>
      </w:r>
      <w:r w:rsidRPr="00FB5D79">
        <w:rPr>
          <w:rFonts w:ascii="Tw Cen MT" w:eastAsia="MS PGothic" w:hAnsi="Tw Cen MT"/>
          <w:color w:val="000000"/>
          <w:sz w:val="18"/>
          <w:szCs w:val="18"/>
        </w:rPr>
        <w:t>m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, indicating statistical significance (P = 0.001 and P &lt; 0.0001, respectively) for all groups. Among the ocular side effects, none of the patients were reported with severe inflammation,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endophthalmitis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or rise in intraocular pressure (IOP) &gt;21 mm of Hg during follow up period of one month post injection. No systemic adverse events were noted in study population. </w:t>
      </w:r>
    </w:p>
    <w:p w:rsidR="00FB5D79" w:rsidRPr="00FB5D79" w:rsidRDefault="00FB5D79" w:rsidP="00FB5D79">
      <w:pPr>
        <w:autoSpaceDE w:val="0"/>
        <w:autoSpaceDN w:val="0"/>
        <w:adjustRightInd w:val="0"/>
        <w:rPr>
          <w:rFonts w:ascii="Tw Cen MT" w:eastAsia="MS PGothic" w:hAnsi="Tw Cen MT"/>
          <w:color w:val="000000"/>
          <w:sz w:val="18"/>
          <w:szCs w:val="18"/>
        </w:rPr>
      </w:pPr>
      <w:r w:rsidRPr="00FB5D79">
        <w:rPr>
          <w:rFonts w:ascii="Tw Cen MT" w:eastAsia="MS PGothic" w:hAnsi="Tw Cen MT"/>
          <w:color w:val="000000"/>
          <w:sz w:val="18"/>
          <w:szCs w:val="18"/>
        </w:rPr>
        <w:t>Conclusion: This retrospec</w:t>
      </w:r>
      <w:r>
        <w:rPr>
          <w:rFonts w:ascii="Tw Cen MT" w:eastAsia="MS PGothic" w:hAnsi="Tw Cen MT"/>
          <w:color w:val="000000"/>
          <w:sz w:val="18"/>
          <w:szCs w:val="18"/>
        </w:rPr>
        <w:t>tive analysis provides real world</w:t>
      </w:r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evidence regarding the efficacy and safety profile of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biosimilar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of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bevacizumab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,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Zybev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.  However, more long term, prospective safety and efficacy studies are still awaited, this short term retrospective data suggest that </w:t>
      </w:r>
      <w:proofErr w:type="spellStart"/>
      <w:r w:rsidRPr="00FB5D79">
        <w:rPr>
          <w:rFonts w:ascii="Tw Cen MT" w:eastAsia="MS PGothic" w:hAnsi="Tw Cen MT"/>
          <w:color w:val="000000"/>
          <w:sz w:val="18"/>
          <w:szCs w:val="18"/>
        </w:rPr>
        <w:t>Zybev</w:t>
      </w:r>
      <w:proofErr w:type="spellEnd"/>
      <w:r w:rsidRPr="00FB5D79">
        <w:rPr>
          <w:rFonts w:ascii="Tw Cen MT" w:eastAsia="MS PGothic" w:hAnsi="Tw Cen MT"/>
          <w:color w:val="000000"/>
          <w:sz w:val="18"/>
          <w:szCs w:val="18"/>
        </w:rPr>
        <w:t xml:space="preserve"> can be effective and safe in the management of ocular conditions including DME, wet AMD and RVO. </w:t>
      </w:r>
    </w:p>
    <w:p w:rsidR="00C63514" w:rsidRDefault="00C63514" w:rsidP="00455417">
      <w:pPr>
        <w:spacing w:before="63"/>
        <w:ind w:right="1579"/>
        <w:rPr>
          <w:rFonts w:ascii="Arial"/>
        </w:rPr>
      </w:pPr>
      <w:r w:rsidRPr="00FB5D79">
        <w:rPr>
          <w:rFonts w:ascii="Tw Cen MT" w:hAnsi="Tw Cen MT"/>
          <w:sz w:val="18"/>
          <w:szCs w:val="18"/>
        </w:rPr>
        <w:br w:type="column"/>
      </w:r>
      <w:r>
        <w:rPr>
          <w:rFonts w:ascii="Arial"/>
          <w:color w:val="BF5A14"/>
        </w:rPr>
        <w:t>Biography</w:t>
      </w:r>
      <w:r w:rsidR="00455417">
        <w:rPr>
          <w:rFonts w:ascii="Arial"/>
          <w:color w:val="BF5A14"/>
        </w:rPr>
        <w:t xml:space="preserve"> (Word Limit: 150)</w:t>
      </w:r>
    </w:p>
    <w:p w:rsidR="00FB5D79" w:rsidRPr="00FB5D79" w:rsidRDefault="00FB5D79" w:rsidP="00FB5D79">
      <w:pPr>
        <w:autoSpaceDE w:val="0"/>
        <w:autoSpaceDN w:val="0"/>
        <w:adjustRightInd w:val="0"/>
        <w:rPr>
          <w:rFonts w:ascii="Arial" w:eastAsia="MS PGothic" w:hAnsi="Arial" w:cs="Arial"/>
          <w:color w:val="000000"/>
          <w:sz w:val="14"/>
          <w:szCs w:val="14"/>
        </w:rPr>
      </w:pPr>
      <w:r w:rsidRPr="00FB5D79">
        <w:rPr>
          <w:rFonts w:ascii="Arial" w:eastAsia="MS PGothic" w:hAnsi="Arial" w:cs="Arial"/>
          <w:color w:val="000000"/>
          <w:sz w:val="14"/>
          <w:szCs w:val="14"/>
        </w:rPr>
        <w:t xml:space="preserve">Dr Sandesh Warudkar, MBBS, MD (Pharmacology) has more than 10 years of experience in clinical practice and research. Currently working as Medical Advisor, with </w:t>
      </w:r>
      <w:proofErr w:type="spellStart"/>
      <w:r w:rsidRPr="00FB5D79">
        <w:rPr>
          <w:rFonts w:ascii="Arial" w:eastAsia="MS PGothic" w:hAnsi="Arial" w:cs="Arial"/>
          <w:color w:val="000000"/>
          <w:sz w:val="14"/>
          <w:szCs w:val="14"/>
        </w:rPr>
        <w:t>Cadila</w:t>
      </w:r>
      <w:proofErr w:type="spellEnd"/>
      <w:r w:rsidRPr="00FB5D79">
        <w:rPr>
          <w:rFonts w:ascii="Arial" w:eastAsia="MS PGothic" w:hAnsi="Arial" w:cs="Arial"/>
          <w:color w:val="000000"/>
          <w:sz w:val="14"/>
          <w:szCs w:val="14"/>
        </w:rPr>
        <w:t xml:space="preserve"> Healthcare Ltd, Ahmedabad, India</w:t>
      </w:r>
    </w:p>
    <w:p w:rsidR="00C63514" w:rsidRDefault="00C63514" w:rsidP="00C63514">
      <w:pPr>
        <w:spacing w:before="41" w:line="154" w:lineRule="exact"/>
        <w:ind w:left="100" w:right="250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C63514" w:rsidRDefault="00C63514" w:rsidP="00C63514">
      <w:pPr>
        <w:spacing w:before="62"/>
        <w:ind w:left="1428" w:right="1579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7" w:history="1">
        <w:r w:rsidR="00FB5D79" w:rsidRPr="00720C0B">
          <w:rPr>
            <w:rStyle w:val="Hyperlink"/>
            <w:rFonts w:ascii="Arial"/>
            <w:sz w:val="14"/>
          </w:rPr>
          <w:t>sandx.pharma</w:t>
        </w:r>
      </w:hyperlink>
      <w:r w:rsidR="00FB5D79">
        <w:rPr>
          <w:rFonts w:ascii="Arial"/>
          <w:color w:val="004080"/>
          <w:sz w:val="14"/>
        </w:rPr>
        <w:t>@gmail.com</w:t>
      </w:r>
    </w:p>
    <w:p w:rsidR="00C63514" w:rsidRDefault="00C63514" w:rsidP="00C63514">
      <w:pPr>
        <w:jc w:val="center"/>
        <w:rPr>
          <w:rFonts w:ascii="Arial"/>
          <w:sz w:val="14"/>
        </w:rPr>
        <w:sectPr w:rsidR="00C63514">
          <w:type w:val="continuous"/>
          <w:pgSz w:w="11910" w:h="16840"/>
          <w:pgMar w:top="1740" w:right="580" w:bottom="840" w:left="620" w:header="720" w:footer="720" w:gutter="0"/>
          <w:cols w:num="2" w:space="720" w:equalWidth="0">
            <w:col w:w="5214" w:space="252"/>
            <w:col w:w="5244"/>
          </w:cols>
        </w:sectPr>
      </w:pPr>
    </w:p>
    <w:p w:rsidR="00C63514" w:rsidRDefault="00C63514" w:rsidP="00C63514">
      <w:pPr>
        <w:pStyle w:val="BodyText"/>
        <w:spacing w:before="1"/>
        <w:rPr>
          <w:rFonts w:ascii="Arial"/>
          <w:b/>
          <w:sz w:val="9"/>
        </w:rPr>
      </w:pPr>
    </w:p>
    <w:p w:rsidR="00C63514" w:rsidRDefault="00C63514" w:rsidP="00C63514">
      <w:pPr>
        <w:pStyle w:val="BodyText"/>
        <w:rPr>
          <w:rFonts w:ascii="Arial"/>
          <w:b/>
          <w:sz w:val="20"/>
        </w:rPr>
      </w:pPr>
    </w:p>
    <w:p w:rsidR="00C63514" w:rsidRDefault="00C63514" w:rsidP="00C63514">
      <w:pPr>
        <w:pStyle w:val="BodyText"/>
        <w:spacing w:before="8"/>
        <w:rPr>
          <w:rFonts w:ascii="Arial"/>
          <w:b/>
          <w:sz w:val="26"/>
        </w:rPr>
      </w:pPr>
    </w:p>
    <w:p w:rsidR="00C63514" w:rsidRPr="00B21A57" w:rsidRDefault="00C63514" w:rsidP="00C63514">
      <w:pPr>
        <w:ind w:left="100"/>
        <w:jc w:val="both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C63514" w:rsidRDefault="00C63514" w:rsidP="00281468">
      <w:pPr>
        <w:spacing w:line="204" w:lineRule="exact"/>
        <w:rPr>
          <w:rFonts w:ascii="Calibri" w:hAnsi="Calibri"/>
        </w:rPr>
      </w:pPr>
    </w:p>
    <w:p w:rsidR="00592441" w:rsidRDefault="00592441"/>
    <w:sectPr w:rsidR="0059244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9F9"/>
    <w:rsid w:val="00281468"/>
    <w:rsid w:val="00455417"/>
    <w:rsid w:val="00592441"/>
    <w:rsid w:val="005F34D7"/>
    <w:rsid w:val="00B479F9"/>
    <w:rsid w:val="00C63514"/>
    <w:rsid w:val="00FB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C63514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63514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C63514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63514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C63514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D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B5D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C63514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63514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C63514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63514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C63514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D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B5D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andx.phar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Asian Biosimilars Congress 2017</dc:creator>
  <cp:lastModifiedBy>Sandesh Warudkar</cp:lastModifiedBy>
  <cp:revision>3</cp:revision>
  <dcterms:created xsi:type="dcterms:W3CDTF">2018-03-22T03:33:00Z</dcterms:created>
  <dcterms:modified xsi:type="dcterms:W3CDTF">2018-03-22T03:33:00Z</dcterms:modified>
</cp:coreProperties>
</file>