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55B5" w:rsidRPr="001E19E6" w:rsidRDefault="003C0794" w:rsidP="00861508">
      <w:pPr>
        <w:rPr>
          <w:rFonts w:eastAsia="MS Mincho"/>
          <w:b/>
          <w:sz w:val="22"/>
          <w:szCs w:val="22"/>
          <w:u w:val="single"/>
        </w:rPr>
      </w:pPr>
      <w:r w:rsidRPr="001E19E6">
        <w:rPr>
          <w:rFonts w:eastAsia="MS Mincho"/>
          <w:b/>
          <w:sz w:val="22"/>
          <w:szCs w:val="22"/>
          <w:u w:val="single"/>
        </w:rPr>
        <w:t xml:space="preserve">Abstract </w:t>
      </w:r>
    </w:p>
    <w:p w:rsidR="003C0794" w:rsidRDefault="003C079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1E19E6" w:rsidRDefault="003C0794" w:rsidP="001E19E6">
      <w:pPr>
        <w:jc w:val="both"/>
        <w:rPr>
          <w:rFonts w:eastAsia="MS PGothic"/>
          <w:b/>
          <w:color w:val="000000"/>
          <w:sz w:val="22"/>
          <w:szCs w:val="22"/>
        </w:rPr>
      </w:pPr>
      <w:r w:rsidRPr="009D49B8">
        <w:rPr>
          <w:rFonts w:eastAsia="MS PGothic"/>
          <w:b/>
          <w:color w:val="000000"/>
          <w:sz w:val="22"/>
          <w:szCs w:val="22"/>
        </w:rPr>
        <w:t xml:space="preserve">Title: </w:t>
      </w:r>
      <w:r w:rsidR="001E19E6" w:rsidRPr="001E19E6">
        <w:rPr>
          <w:rFonts w:eastAsia="MS PGothic"/>
          <w:b/>
          <w:color w:val="000000"/>
          <w:sz w:val="22"/>
          <w:szCs w:val="22"/>
        </w:rPr>
        <w:t xml:space="preserve">Development of Real-time and Label-free Immunoassay Chips by Using </w:t>
      </w:r>
      <w:proofErr w:type="gramStart"/>
      <w:r w:rsidR="001E19E6" w:rsidRPr="001E19E6">
        <w:rPr>
          <w:rFonts w:eastAsia="MS PGothic"/>
          <w:b/>
          <w:color w:val="000000"/>
          <w:sz w:val="22"/>
          <w:szCs w:val="22"/>
        </w:rPr>
        <w:t>IGZO(</w:t>
      </w:r>
      <w:proofErr w:type="gramEnd"/>
      <w:r w:rsidR="001E19E6" w:rsidRPr="001E19E6">
        <w:rPr>
          <w:rFonts w:eastAsia="MS PGothic"/>
          <w:b/>
          <w:color w:val="000000"/>
          <w:sz w:val="22"/>
          <w:szCs w:val="22"/>
        </w:rPr>
        <w:t xml:space="preserve">Indium Gallium Zinc Oxide)-TFT(Thin Film Transistor)-based Biosensors. </w:t>
      </w:r>
    </w:p>
    <w:p w:rsidR="001E19E6" w:rsidRDefault="001E19E6" w:rsidP="001E19E6">
      <w:pPr>
        <w:jc w:val="both"/>
        <w:rPr>
          <w:rFonts w:eastAsia="MS PGothic"/>
          <w:b/>
          <w:color w:val="000000"/>
          <w:sz w:val="22"/>
          <w:szCs w:val="22"/>
        </w:rPr>
      </w:pPr>
    </w:p>
    <w:p w:rsidR="003C0794" w:rsidRPr="001E19E6" w:rsidRDefault="001E19E6" w:rsidP="001E19E6">
      <w:pPr>
        <w:jc w:val="both"/>
        <w:rPr>
          <w:rFonts w:eastAsia="MS PGothic"/>
          <w:b/>
          <w:color w:val="000000"/>
          <w:sz w:val="19"/>
          <w:szCs w:val="19"/>
        </w:rPr>
      </w:pPr>
      <w:proofErr w:type="spellStart"/>
      <w:r w:rsidRPr="001E19E6">
        <w:rPr>
          <w:rFonts w:eastAsia="MS PGothic"/>
          <w:b/>
          <w:color w:val="000000"/>
          <w:sz w:val="19"/>
          <w:szCs w:val="19"/>
        </w:rPr>
        <w:t>Dongchen</w:t>
      </w:r>
      <w:proofErr w:type="spellEnd"/>
      <w:r w:rsidRPr="001E19E6">
        <w:rPr>
          <w:rFonts w:eastAsia="MS PGothic"/>
          <w:b/>
          <w:color w:val="000000"/>
          <w:sz w:val="19"/>
          <w:szCs w:val="19"/>
        </w:rPr>
        <w:t xml:space="preserve"> Zhu</w:t>
      </w:r>
      <w:r w:rsidRPr="001E19E6">
        <w:rPr>
          <w:rFonts w:eastAsia="MS PGothic"/>
          <w:b/>
          <w:color w:val="000000"/>
          <w:sz w:val="19"/>
          <w:szCs w:val="19"/>
          <w:vertAlign w:val="superscript"/>
        </w:rPr>
        <w:t>1</w:t>
      </w:r>
      <w:r w:rsidRPr="001E19E6">
        <w:rPr>
          <w:rFonts w:eastAsia="MS PGothic"/>
          <w:b/>
          <w:color w:val="000000"/>
          <w:sz w:val="19"/>
          <w:szCs w:val="19"/>
        </w:rPr>
        <w:t>, Grant Cathcart</w:t>
      </w:r>
      <w:r w:rsidRPr="001E19E6">
        <w:rPr>
          <w:rFonts w:eastAsia="MS PGothic"/>
          <w:b/>
          <w:color w:val="000000"/>
          <w:sz w:val="19"/>
          <w:szCs w:val="19"/>
          <w:vertAlign w:val="superscript"/>
        </w:rPr>
        <w:t>2</w:t>
      </w:r>
      <w:r w:rsidRPr="001E19E6">
        <w:rPr>
          <w:rFonts w:eastAsia="MS PGothic"/>
          <w:b/>
          <w:color w:val="000000"/>
          <w:sz w:val="19"/>
          <w:szCs w:val="19"/>
        </w:rPr>
        <w:t>, Satoshi Ihida</w:t>
      </w:r>
      <w:r w:rsidRPr="001E19E6">
        <w:rPr>
          <w:rFonts w:eastAsia="MS PGothic"/>
          <w:b/>
          <w:color w:val="000000"/>
          <w:sz w:val="19"/>
          <w:szCs w:val="19"/>
          <w:vertAlign w:val="superscript"/>
        </w:rPr>
        <w:t>3</w:t>
      </w:r>
      <w:r w:rsidRPr="001E19E6">
        <w:rPr>
          <w:rFonts w:eastAsia="MS PGothic"/>
          <w:b/>
          <w:color w:val="000000"/>
          <w:sz w:val="19"/>
          <w:szCs w:val="19"/>
        </w:rPr>
        <w:t>, A. Tixier-Mita</w:t>
      </w:r>
      <w:r w:rsidRPr="001E19E6">
        <w:rPr>
          <w:rFonts w:eastAsia="MS PGothic"/>
          <w:b/>
          <w:color w:val="000000"/>
          <w:sz w:val="19"/>
          <w:szCs w:val="19"/>
          <w:vertAlign w:val="superscript"/>
        </w:rPr>
        <w:t>2</w:t>
      </w:r>
      <w:r w:rsidRPr="001E19E6">
        <w:rPr>
          <w:rFonts w:eastAsia="MS PGothic"/>
          <w:b/>
          <w:color w:val="000000"/>
          <w:sz w:val="19"/>
          <w:szCs w:val="19"/>
        </w:rPr>
        <w:t xml:space="preserve">, </w:t>
      </w:r>
      <w:proofErr w:type="spellStart"/>
      <w:r w:rsidRPr="001E19E6">
        <w:rPr>
          <w:rFonts w:eastAsia="MS PGothic"/>
          <w:b/>
          <w:color w:val="000000"/>
          <w:sz w:val="19"/>
          <w:szCs w:val="19"/>
        </w:rPr>
        <w:t>Yasuyuki</w:t>
      </w:r>
      <w:proofErr w:type="spellEnd"/>
      <w:r w:rsidRPr="001E19E6">
        <w:rPr>
          <w:rFonts w:eastAsia="MS PGothic"/>
          <w:b/>
          <w:color w:val="000000"/>
          <w:sz w:val="19"/>
          <w:szCs w:val="19"/>
        </w:rPr>
        <w:t xml:space="preserve"> Sakai</w:t>
      </w:r>
      <w:r w:rsidRPr="001E19E6">
        <w:rPr>
          <w:rFonts w:eastAsia="MS PGothic"/>
          <w:b/>
          <w:color w:val="000000"/>
          <w:sz w:val="19"/>
          <w:szCs w:val="19"/>
          <w:vertAlign w:val="superscript"/>
        </w:rPr>
        <w:t>1</w:t>
      </w:r>
      <w:r w:rsidRPr="001E19E6">
        <w:rPr>
          <w:rFonts w:eastAsia="MS PGothic"/>
          <w:b/>
          <w:color w:val="000000"/>
          <w:sz w:val="19"/>
          <w:szCs w:val="19"/>
        </w:rPr>
        <w:t xml:space="preserve">, </w:t>
      </w:r>
      <w:proofErr w:type="spellStart"/>
      <w:r w:rsidRPr="001E19E6">
        <w:rPr>
          <w:rFonts w:eastAsia="MS PGothic"/>
          <w:b/>
          <w:color w:val="000000"/>
          <w:sz w:val="19"/>
          <w:szCs w:val="19"/>
        </w:rPr>
        <w:t>Kikuo</w:t>
      </w:r>
      <w:proofErr w:type="spellEnd"/>
      <w:r w:rsidRPr="001E19E6">
        <w:rPr>
          <w:rFonts w:eastAsia="MS PGothic"/>
          <w:b/>
          <w:color w:val="000000"/>
          <w:sz w:val="19"/>
          <w:szCs w:val="19"/>
        </w:rPr>
        <w:t xml:space="preserve"> Komori</w:t>
      </w:r>
      <w:r w:rsidRPr="001E19E6">
        <w:rPr>
          <w:rFonts w:eastAsia="MS PGothic"/>
          <w:b/>
          <w:color w:val="000000"/>
          <w:sz w:val="19"/>
          <w:szCs w:val="19"/>
          <w:vertAlign w:val="superscript"/>
        </w:rPr>
        <w:t>4</w:t>
      </w:r>
    </w:p>
    <w:p w:rsidR="0005164C" w:rsidRPr="009D49B8" w:rsidRDefault="0005164C" w:rsidP="003C0794">
      <w:pPr>
        <w:jc w:val="both"/>
        <w:rPr>
          <w:rFonts w:eastAsia="MS PGothic"/>
          <w:color w:val="000000"/>
          <w:sz w:val="22"/>
          <w:szCs w:val="22"/>
        </w:rPr>
      </w:pPr>
    </w:p>
    <w:p w:rsidR="001E19E6" w:rsidRPr="001E19E6" w:rsidRDefault="001E19E6" w:rsidP="001E19E6">
      <w:pPr>
        <w:jc w:val="both"/>
        <w:rPr>
          <w:sz w:val="19"/>
          <w:szCs w:val="19"/>
          <w:lang w:val="en-IN" w:eastAsia="en-IN"/>
        </w:rPr>
      </w:pPr>
      <w:r w:rsidRPr="001E19E6">
        <w:rPr>
          <w:sz w:val="19"/>
          <w:szCs w:val="19"/>
          <w:vertAlign w:val="superscript"/>
          <w:lang w:eastAsia="en-IN"/>
        </w:rPr>
        <w:t>1</w:t>
      </w:r>
      <w:r w:rsidRPr="001E19E6">
        <w:rPr>
          <w:sz w:val="19"/>
          <w:szCs w:val="19"/>
          <w:lang w:val="en-IN" w:eastAsia="en-IN"/>
        </w:rPr>
        <w:t xml:space="preserve">Department of Chemical System Engineering, University of Tokyo, Tokyo, Japan </w:t>
      </w:r>
    </w:p>
    <w:p w:rsidR="001E19E6" w:rsidRPr="001E19E6" w:rsidRDefault="001E19E6" w:rsidP="001E19E6">
      <w:pPr>
        <w:jc w:val="both"/>
        <w:rPr>
          <w:sz w:val="19"/>
          <w:szCs w:val="19"/>
          <w:lang w:val="en-IN" w:eastAsia="en-IN"/>
        </w:rPr>
      </w:pPr>
      <w:r w:rsidRPr="001E19E6">
        <w:rPr>
          <w:sz w:val="19"/>
          <w:szCs w:val="19"/>
          <w:vertAlign w:val="superscript"/>
          <w:lang w:val="en-IN" w:eastAsia="en-IN"/>
        </w:rPr>
        <w:t>2</w:t>
      </w:r>
      <w:r w:rsidRPr="001E19E6">
        <w:rPr>
          <w:sz w:val="19"/>
          <w:szCs w:val="19"/>
          <w:lang w:val="en-IN" w:eastAsia="en-IN"/>
        </w:rPr>
        <w:t xml:space="preserve">Research </w:t>
      </w:r>
      <w:proofErr w:type="spellStart"/>
      <w:r w:rsidRPr="001E19E6">
        <w:rPr>
          <w:sz w:val="19"/>
          <w:szCs w:val="19"/>
          <w:lang w:val="en-IN" w:eastAsia="en-IN"/>
        </w:rPr>
        <w:t>Center</w:t>
      </w:r>
      <w:proofErr w:type="spellEnd"/>
      <w:r w:rsidRPr="001E19E6">
        <w:rPr>
          <w:sz w:val="19"/>
          <w:szCs w:val="19"/>
          <w:lang w:val="en-IN" w:eastAsia="en-IN"/>
        </w:rPr>
        <w:t xml:space="preserve"> for Advanced Science and Technology, University of Tokyo, Tokyo, Japan </w:t>
      </w:r>
    </w:p>
    <w:p w:rsidR="001E19E6" w:rsidRPr="001E19E6" w:rsidRDefault="001E19E6" w:rsidP="001E19E6">
      <w:pPr>
        <w:jc w:val="both"/>
        <w:rPr>
          <w:sz w:val="19"/>
          <w:szCs w:val="19"/>
          <w:lang w:val="en-IN" w:eastAsia="en-IN"/>
        </w:rPr>
      </w:pPr>
      <w:r w:rsidRPr="001E19E6">
        <w:rPr>
          <w:sz w:val="19"/>
          <w:szCs w:val="19"/>
          <w:vertAlign w:val="superscript"/>
          <w:lang w:val="en-IN" w:eastAsia="en-IN"/>
        </w:rPr>
        <w:t>3</w:t>
      </w:r>
      <w:r w:rsidRPr="001E19E6">
        <w:rPr>
          <w:sz w:val="19"/>
          <w:szCs w:val="19"/>
          <w:lang w:val="en-IN" w:eastAsia="en-IN"/>
        </w:rPr>
        <w:t xml:space="preserve">Sharp Co. , Tokyo, Japan </w:t>
      </w:r>
    </w:p>
    <w:p w:rsidR="008A55B5" w:rsidRPr="001E19E6" w:rsidRDefault="001E19E6" w:rsidP="001E19E6">
      <w:pPr>
        <w:jc w:val="both"/>
        <w:rPr>
          <w:rFonts w:eastAsia="MS Mincho"/>
          <w:sz w:val="19"/>
          <w:szCs w:val="19"/>
        </w:rPr>
      </w:pPr>
      <w:r w:rsidRPr="001E19E6">
        <w:rPr>
          <w:sz w:val="19"/>
          <w:szCs w:val="19"/>
          <w:vertAlign w:val="superscript"/>
          <w:lang w:val="en-IN" w:eastAsia="en-IN"/>
        </w:rPr>
        <w:t>4</w:t>
      </w:r>
      <w:r w:rsidRPr="001E19E6">
        <w:rPr>
          <w:sz w:val="19"/>
          <w:szCs w:val="19"/>
          <w:lang w:val="en-IN" w:eastAsia="en-IN"/>
        </w:rPr>
        <w:t xml:space="preserve">Department of Biotechnology and Chemistry, </w:t>
      </w:r>
      <w:proofErr w:type="spellStart"/>
      <w:r w:rsidRPr="001E19E6">
        <w:rPr>
          <w:sz w:val="19"/>
          <w:szCs w:val="19"/>
          <w:lang w:val="en-IN" w:eastAsia="en-IN"/>
        </w:rPr>
        <w:t>Kindai</w:t>
      </w:r>
      <w:proofErr w:type="spellEnd"/>
      <w:r w:rsidRPr="001E19E6">
        <w:rPr>
          <w:sz w:val="19"/>
          <w:szCs w:val="19"/>
          <w:lang w:val="en-IN" w:eastAsia="en-IN"/>
        </w:rPr>
        <w:t xml:space="preserve"> University, Hiroshima, Japan</w:t>
      </w:r>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05164C"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t xml:space="preserve">Keywords: </w:t>
      </w:r>
      <w:r w:rsidR="001E19E6">
        <w:rPr>
          <w:rFonts w:hint="eastAsia"/>
          <w:bCs w:val="0"/>
          <w:i w:val="0"/>
          <w:iCs w:val="0"/>
          <w:noProof w:val="0"/>
          <w:sz w:val="19"/>
          <w:szCs w:val="19"/>
          <w:lang w:val="en-IN" w:eastAsia="zh-CN"/>
        </w:rPr>
        <w:t>I</w:t>
      </w:r>
      <w:r w:rsidR="001E19E6">
        <w:rPr>
          <w:bCs w:val="0"/>
          <w:i w:val="0"/>
          <w:iCs w:val="0"/>
          <w:noProof w:val="0"/>
          <w:sz w:val="19"/>
          <w:szCs w:val="19"/>
          <w:lang w:eastAsia="zh-CN"/>
        </w:rPr>
        <w:t>immunoassay</w:t>
      </w:r>
      <w:r>
        <w:rPr>
          <w:bCs w:val="0"/>
          <w:i w:val="0"/>
          <w:iCs w:val="0"/>
          <w:noProof w:val="0"/>
          <w:sz w:val="19"/>
          <w:szCs w:val="19"/>
          <w:lang w:val="en-IN" w:eastAsia="en-IN"/>
        </w:rPr>
        <w:t xml:space="preserve">, </w:t>
      </w:r>
      <w:r w:rsidR="001E19E6">
        <w:rPr>
          <w:bCs w:val="0"/>
          <w:i w:val="0"/>
          <w:iCs w:val="0"/>
          <w:noProof w:val="0"/>
          <w:sz w:val="19"/>
          <w:szCs w:val="19"/>
          <w:lang w:val="en-IN" w:eastAsia="en-IN"/>
        </w:rPr>
        <w:t>Anti-human albumin</w:t>
      </w:r>
      <w:r w:rsidR="001E19E6">
        <w:rPr>
          <w:bCs w:val="0"/>
          <w:i w:val="0"/>
          <w:iCs w:val="0"/>
          <w:noProof w:val="0"/>
          <w:sz w:val="19"/>
          <w:szCs w:val="19"/>
          <w:lang w:val="en-IN" w:eastAsia="en-IN"/>
        </w:rPr>
        <w:t xml:space="preserve">, Impedance, IGZO, TFT. </w:t>
      </w:r>
    </w:p>
    <w:p w:rsidR="003C0794" w:rsidRPr="0005164C" w:rsidRDefault="003C0794" w:rsidP="003C0794">
      <w:pPr>
        <w:pStyle w:val="keywords"/>
        <w:ind w:firstLine="0"/>
        <w:rPr>
          <w:b w:val="0"/>
          <w:bCs w:val="0"/>
          <w:i w:val="0"/>
          <w:iCs w:val="0"/>
          <w:noProof w:val="0"/>
          <w:sz w:val="19"/>
          <w:szCs w:val="19"/>
          <w:lang w:val="en-IN" w:eastAsia="en-IN"/>
        </w:rPr>
      </w:pPr>
    </w:p>
    <w:p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w:t>
      </w:r>
    </w:p>
    <w:p w:rsidR="00883A50" w:rsidRDefault="001E19E6" w:rsidP="00883A50">
      <w:pPr>
        <w:jc w:val="both"/>
        <w:rPr>
          <w:sz w:val="19"/>
          <w:szCs w:val="19"/>
          <w:lang w:val="en-IN" w:eastAsia="en-IN"/>
        </w:rPr>
      </w:pPr>
      <w:r w:rsidRPr="001E19E6">
        <w:rPr>
          <w:sz w:val="19"/>
          <w:szCs w:val="19"/>
          <w:lang w:eastAsia="en-IN"/>
        </w:rPr>
        <w:t>Thin film transistor (TFT) technology has been widely utilized in display, but seldomly been used in biosensing in spite of its priority in relatively high electron-mobility, economic-friendly manufacturing and lower energy consumption. Here we immobilized anti-human albumin (anti-</w:t>
      </w:r>
      <w:proofErr w:type="spellStart"/>
      <w:r w:rsidRPr="001E19E6">
        <w:rPr>
          <w:sz w:val="19"/>
          <w:szCs w:val="19"/>
          <w:lang w:eastAsia="en-IN"/>
        </w:rPr>
        <w:t>HAlb</w:t>
      </w:r>
      <w:proofErr w:type="spellEnd"/>
      <w:r w:rsidRPr="001E19E6">
        <w:rPr>
          <w:sz w:val="19"/>
          <w:szCs w:val="19"/>
          <w:lang w:eastAsia="en-IN"/>
        </w:rPr>
        <w:t>) and examined to directly detect human serum albumin (</w:t>
      </w:r>
      <w:proofErr w:type="spellStart"/>
      <w:r w:rsidRPr="001E19E6">
        <w:rPr>
          <w:sz w:val="19"/>
          <w:szCs w:val="19"/>
          <w:lang w:eastAsia="en-IN"/>
        </w:rPr>
        <w:t>HSAlb</w:t>
      </w:r>
      <w:proofErr w:type="spellEnd"/>
      <w:r w:rsidRPr="001E19E6">
        <w:rPr>
          <w:sz w:val="19"/>
          <w:szCs w:val="19"/>
          <w:lang w:eastAsia="en-IN"/>
        </w:rPr>
        <w:t xml:space="preserve">) molecules at the surface of an IGZO (Indium Gallium Zinc Oxide)-TFT array with 400 transistors densely from impedance </w:t>
      </w:r>
      <w:proofErr w:type="gramStart"/>
      <w:r w:rsidRPr="001E19E6">
        <w:rPr>
          <w:sz w:val="19"/>
          <w:szCs w:val="19"/>
          <w:lang w:eastAsia="en-IN"/>
        </w:rPr>
        <w:t>measurements</w:t>
      </w:r>
      <w:r w:rsidR="00FA0888">
        <w:rPr>
          <w:sz w:val="19"/>
          <w:szCs w:val="19"/>
          <w:lang w:eastAsia="en-IN"/>
        </w:rPr>
        <w:t>[</w:t>
      </w:r>
      <w:proofErr w:type="gramEnd"/>
      <w:r w:rsidR="00FA0888">
        <w:rPr>
          <w:sz w:val="19"/>
          <w:szCs w:val="19"/>
          <w:lang w:eastAsia="en-IN"/>
        </w:rPr>
        <w:t>]</w:t>
      </w:r>
      <w:r w:rsidRPr="001E19E6">
        <w:rPr>
          <w:sz w:val="19"/>
          <w:szCs w:val="19"/>
          <w:lang w:eastAsia="en-IN"/>
        </w:rPr>
        <w:t xml:space="preserve">. DC and AC voltages were applied on the neighboring two gates and sources, respectively. After the recognition of </w:t>
      </w:r>
      <w:proofErr w:type="spellStart"/>
      <w:r w:rsidRPr="001E19E6">
        <w:rPr>
          <w:sz w:val="19"/>
          <w:szCs w:val="19"/>
          <w:lang w:eastAsia="en-IN"/>
        </w:rPr>
        <w:t>HSAlb</w:t>
      </w:r>
      <w:proofErr w:type="spellEnd"/>
      <w:r w:rsidRPr="001E19E6">
        <w:rPr>
          <w:sz w:val="19"/>
          <w:szCs w:val="19"/>
          <w:lang w:eastAsia="en-IN"/>
        </w:rPr>
        <w:t xml:space="preserve"> by anti-</w:t>
      </w:r>
      <w:proofErr w:type="spellStart"/>
      <w:r w:rsidRPr="001E19E6">
        <w:rPr>
          <w:sz w:val="19"/>
          <w:szCs w:val="19"/>
          <w:lang w:eastAsia="en-IN"/>
        </w:rPr>
        <w:t>HAlb</w:t>
      </w:r>
      <w:proofErr w:type="spellEnd"/>
      <w:r w:rsidRPr="001E19E6">
        <w:rPr>
          <w:sz w:val="19"/>
          <w:szCs w:val="19"/>
          <w:lang w:eastAsia="en-IN"/>
        </w:rPr>
        <w:t>, the output current at 1000Hz increased in a pH 7.4 phosphate buffer solution (PBS) due to changes in electrostatic capacitance and ion mobility at the ITO (Indium Tin Oxide) surfaces as shown in Fig. 1. We also successfully observed the output current response even at the low level of 20 ng/ml for albumin molecules. Furthermore, higher diluted PBS demonstrates larger magnitude of output signals after antibody-antigen reactions, as shown in Fig. 2, probably due to lower ion</w:t>
      </w:r>
      <w:r w:rsidRPr="001E19E6">
        <w:rPr>
          <w:rFonts w:hint="eastAsia"/>
          <w:sz w:val="19"/>
          <w:szCs w:val="19"/>
          <w:lang w:eastAsia="en-IN"/>
        </w:rPr>
        <w:t>ic</w:t>
      </w:r>
      <w:r w:rsidRPr="001E19E6">
        <w:rPr>
          <w:sz w:val="19"/>
          <w:szCs w:val="19"/>
          <w:lang w:eastAsia="en-IN"/>
        </w:rPr>
        <w:t xml:space="preserve"> strength. The other reason could be pH value of higher diluted PBS is much closer to the isoelectric point of albumin and its antibody, where both of them are </w:t>
      </w:r>
      <w:r w:rsidRPr="001E19E6">
        <w:rPr>
          <w:rFonts w:hint="eastAsia"/>
          <w:sz w:val="19"/>
          <w:szCs w:val="19"/>
          <w:lang w:eastAsia="en-IN"/>
        </w:rPr>
        <w:t>ap</w:t>
      </w:r>
      <w:r w:rsidRPr="001E19E6">
        <w:rPr>
          <w:sz w:val="19"/>
          <w:szCs w:val="19"/>
          <w:lang w:eastAsia="en-IN"/>
        </w:rPr>
        <w:t>proximately of electrical neutrality. In the future, the present IGZO-TFT biosensors are promising for a label-free multiple immunoassay method.</w:t>
      </w:r>
    </w:p>
    <w:p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rsidR="00861508" w:rsidRPr="0005164C" w:rsidRDefault="00861508" w:rsidP="00861508">
      <w:pPr>
        <w:rPr>
          <w:sz w:val="19"/>
          <w:szCs w:val="19"/>
        </w:rPr>
      </w:pPr>
    </w:p>
    <w:p w:rsidR="003C0794" w:rsidRPr="0005164C" w:rsidRDefault="003C0794" w:rsidP="003C0794">
      <w:pPr>
        <w:pStyle w:val="a3"/>
        <w:ind w:firstLine="0"/>
        <w:rPr>
          <w:sz w:val="19"/>
          <w:szCs w:val="19"/>
        </w:rPr>
      </w:pPr>
    </w:p>
    <w:p w:rsidR="003C0794" w:rsidRDefault="001E19E6" w:rsidP="003C0794">
      <w:pPr>
        <w:pStyle w:val="a3"/>
        <w:jc w:val="left"/>
        <w:rPr>
          <w:sz w:val="19"/>
          <w:szCs w:val="19"/>
        </w:rPr>
      </w:pPr>
      <w:r>
        <w:rPr>
          <w:rFonts w:hint="eastAsia"/>
          <w:noProof/>
          <w:sz w:val="24"/>
        </w:rPr>
        <w:drawing>
          <wp:inline distT="0" distB="0" distL="0" distR="0" wp14:anchorId="6B970751" wp14:editId="1C00A8DC">
            <wp:extent cx="3200400" cy="2400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bstract-DongchenZhu.jpg"/>
                    <pic:cNvPicPr/>
                  </pic:nvPicPr>
                  <pic:blipFill>
                    <a:blip r:embed="rId5">
                      <a:extLst>
                        <a:ext uri="{28A0092B-C50C-407E-A947-70E740481C1C}">
                          <a14:useLocalDpi xmlns:a14="http://schemas.microsoft.com/office/drawing/2010/main" val="0"/>
                        </a:ext>
                      </a:extLst>
                    </a:blip>
                    <a:stretch>
                      <a:fillRect/>
                    </a:stretch>
                  </pic:blipFill>
                  <pic:spPr>
                    <a:xfrm>
                      <a:off x="0" y="0"/>
                      <a:ext cx="3200400" cy="2400300"/>
                    </a:xfrm>
                    <a:prstGeom prst="rect">
                      <a:avLst/>
                    </a:prstGeom>
                  </pic:spPr>
                </pic:pic>
              </a:graphicData>
            </a:graphic>
          </wp:inline>
        </w:drawing>
      </w:r>
    </w:p>
    <w:p w:rsidR="001E19E6" w:rsidRPr="001E19E6" w:rsidRDefault="001E19E6" w:rsidP="001E19E6">
      <w:pPr>
        <w:pStyle w:val="a3"/>
        <w:jc w:val="center"/>
        <w:rPr>
          <w:sz w:val="19"/>
          <w:szCs w:val="19"/>
        </w:rPr>
      </w:pPr>
      <w:r w:rsidRPr="001E19E6">
        <w:rPr>
          <w:sz w:val="19"/>
          <w:szCs w:val="19"/>
        </w:rPr>
        <w:t>Fig.1 Illustration of IGZO-TFT function and mechanism of impedance change</w:t>
      </w:r>
    </w:p>
    <w:p w:rsidR="001E19E6" w:rsidRDefault="001E19E6" w:rsidP="003C0794">
      <w:pPr>
        <w:pStyle w:val="a3"/>
        <w:jc w:val="left"/>
        <w:rPr>
          <w:sz w:val="19"/>
          <w:szCs w:val="19"/>
        </w:rPr>
      </w:pPr>
    </w:p>
    <w:p w:rsidR="001E19E6" w:rsidRDefault="001E19E6" w:rsidP="003C0794">
      <w:pPr>
        <w:pStyle w:val="a3"/>
        <w:jc w:val="left"/>
        <w:rPr>
          <w:sz w:val="19"/>
          <w:szCs w:val="19"/>
        </w:rPr>
      </w:pPr>
      <w:r w:rsidRPr="009066CF">
        <w:rPr>
          <w:noProof/>
          <w:sz w:val="24"/>
        </w:rPr>
        <w:drawing>
          <wp:inline distT="0" distB="0" distL="0" distR="0" wp14:anchorId="5238918C" wp14:editId="5F349494">
            <wp:extent cx="3200400" cy="2001985"/>
            <wp:effectExtent l="0" t="0" r="0" b="5080"/>
            <wp:docPr id="3" name="图表 3">
              <a:extLst xmlns:a="http://schemas.openxmlformats.org/drawingml/2006/main">
                <a:ext uri="{FF2B5EF4-FFF2-40B4-BE49-F238E27FC236}">
                  <a16:creationId xmlns:a16="http://schemas.microsoft.com/office/drawing/2014/main" id="{683DB821-E30E-D549-848B-7DC2E8762B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1E19E6" w:rsidRPr="001E19E6" w:rsidRDefault="001E19E6" w:rsidP="001E19E6">
      <w:pPr>
        <w:pStyle w:val="a3"/>
        <w:jc w:val="center"/>
        <w:rPr>
          <w:sz w:val="19"/>
          <w:szCs w:val="19"/>
        </w:rPr>
      </w:pPr>
      <w:r w:rsidRPr="001E19E6">
        <w:rPr>
          <w:rFonts w:hint="eastAsia"/>
          <w:sz w:val="19"/>
          <w:szCs w:val="19"/>
        </w:rPr>
        <w:t>F</w:t>
      </w:r>
      <w:r w:rsidRPr="001E19E6">
        <w:rPr>
          <w:sz w:val="19"/>
          <w:szCs w:val="19"/>
        </w:rPr>
        <w:t xml:space="preserve">ig.2 Dependency of intensity of antibody-antigen binding signals on diluted PBS </w:t>
      </w:r>
      <w:r w:rsidRPr="001E19E6">
        <w:rPr>
          <w:rFonts w:hint="eastAsia"/>
          <w:sz w:val="19"/>
          <w:szCs w:val="19"/>
        </w:rPr>
        <w:t>(</w:t>
      </w:r>
      <w:r w:rsidRPr="001E19E6">
        <w:rPr>
          <w:sz w:val="19"/>
          <w:szCs w:val="19"/>
        </w:rPr>
        <w:t>Original 0.01M)</w:t>
      </w:r>
    </w:p>
    <w:p w:rsidR="001E19E6" w:rsidRPr="0005164C" w:rsidRDefault="001E19E6" w:rsidP="003C0794">
      <w:pPr>
        <w:pStyle w:val="a3"/>
        <w:jc w:val="left"/>
        <w:rPr>
          <w:sz w:val="19"/>
          <w:szCs w:val="19"/>
        </w:rPr>
      </w:pPr>
    </w:p>
    <w:p w:rsidR="00FA0888" w:rsidRDefault="003C0794" w:rsidP="00FA0888">
      <w:pPr>
        <w:pStyle w:val="a3"/>
        <w:numPr>
          <w:ilvl w:val="0"/>
          <w:numId w:val="22"/>
        </w:numPr>
        <w:jc w:val="left"/>
        <w:rPr>
          <w:b/>
          <w:sz w:val="19"/>
          <w:szCs w:val="19"/>
        </w:rPr>
      </w:pPr>
      <w:r w:rsidRPr="0005164C">
        <w:rPr>
          <w:b/>
          <w:sz w:val="19"/>
          <w:szCs w:val="19"/>
        </w:rPr>
        <w:t>Reference:</w:t>
      </w:r>
    </w:p>
    <w:p w:rsidR="00FA0888" w:rsidRPr="00FA0888" w:rsidRDefault="00FA0888" w:rsidP="00FA0888">
      <w:pPr>
        <w:pStyle w:val="a3"/>
        <w:ind w:left="1714" w:firstLine="0"/>
        <w:jc w:val="left"/>
        <w:rPr>
          <w:b/>
          <w:sz w:val="19"/>
          <w:szCs w:val="19"/>
        </w:rPr>
      </w:pPr>
    </w:p>
    <w:p w:rsidR="00A10C81" w:rsidRDefault="00FA0888" w:rsidP="00A10C81">
      <w:pPr>
        <w:numPr>
          <w:ilvl w:val="0"/>
          <w:numId w:val="24"/>
        </w:numPr>
        <w:shd w:val="clear" w:color="auto" w:fill="FFFFFF"/>
        <w:spacing w:before="100" w:beforeAutospacing="1" w:after="120"/>
        <w:jc w:val="left"/>
        <w:rPr>
          <w:sz w:val="19"/>
          <w:szCs w:val="19"/>
          <w:lang w:val="en-IN" w:eastAsia="en-IN"/>
        </w:rPr>
      </w:pPr>
      <w:proofErr w:type="spellStart"/>
      <w:r w:rsidRPr="00FA0888">
        <w:rPr>
          <w:rFonts w:eastAsia="宋体"/>
          <w:sz w:val="19"/>
          <w:szCs w:val="19"/>
          <w:lang w:eastAsia="zh-CN"/>
        </w:rPr>
        <w:lastRenderedPageBreak/>
        <w:t>Tixier-Mita</w:t>
      </w:r>
      <w:proofErr w:type="spellEnd"/>
      <w:r w:rsidRPr="00FA0888">
        <w:rPr>
          <w:rFonts w:eastAsia="宋体"/>
          <w:sz w:val="19"/>
          <w:szCs w:val="19"/>
          <w:lang w:eastAsia="zh-CN"/>
        </w:rPr>
        <w:t xml:space="preserve">, A., </w:t>
      </w:r>
      <w:proofErr w:type="spellStart"/>
      <w:r w:rsidRPr="00FA0888">
        <w:rPr>
          <w:rFonts w:eastAsia="宋体"/>
          <w:sz w:val="19"/>
          <w:szCs w:val="19"/>
          <w:lang w:eastAsia="zh-CN"/>
        </w:rPr>
        <w:t>Segard</w:t>
      </w:r>
      <w:proofErr w:type="spellEnd"/>
      <w:r w:rsidRPr="00FA0888">
        <w:rPr>
          <w:rFonts w:eastAsia="宋体"/>
          <w:sz w:val="19"/>
          <w:szCs w:val="19"/>
          <w:lang w:eastAsia="zh-CN"/>
        </w:rPr>
        <w:t xml:space="preserve">, B.-D., Kim, Y.-J., Matsunaga, Y., Fujita, H., &amp; </w:t>
      </w:r>
      <w:proofErr w:type="spellStart"/>
      <w:r w:rsidRPr="00FA0888">
        <w:rPr>
          <w:rFonts w:eastAsia="宋体"/>
          <w:sz w:val="19"/>
          <w:szCs w:val="19"/>
          <w:lang w:eastAsia="zh-CN"/>
        </w:rPr>
        <w:t>Toshiyoshi</w:t>
      </w:r>
      <w:proofErr w:type="spellEnd"/>
      <w:r w:rsidRPr="00FA0888">
        <w:rPr>
          <w:rFonts w:eastAsia="宋体"/>
          <w:sz w:val="19"/>
          <w:szCs w:val="19"/>
          <w:lang w:eastAsia="zh-CN"/>
        </w:rPr>
        <w:t xml:space="preserve">, H. (2015). TFT display panel technology as a base for biological cells electrical manipulation - application to </w:t>
      </w:r>
      <w:proofErr w:type="spellStart"/>
      <w:r w:rsidRPr="00FA0888">
        <w:rPr>
          <w:rFonts w:eastAsia="宋体"/>
          <w:sz w:val="19"/>
          <w:szCs w:val="19"/>
          <w:lang w:eastAsia="zh-CN"/>
        </w:rPr>
        <w:t>dielectrophoresis</w:t>
      </w:r>
      <w:proofErr w:type="spellEnd"/>
      <w:r w:rsidRPr="00FA0888">
        <w:rPr>
          <w:rFonts w:eastAsia="宋体"/>
          <w:sz w:val="19"/>
          <w:szCs w:val="19"/>
          <w:lang w:eastAsia="zh-CN"/>
        </w:rPr>
        <w:t xml:space="preserve">. In </w:t>
      </w:r>
      <w:r w:rsidRPr="00FA0888">
        <w:rPr>
          <w:rFonts w:eastAsia="宋体"/>
          <w:i/>
          <w:iCs/>
          <w:sz w:val="19"/>
          <w:szCs w:val="19"/>
          <w:lang w:eastAsia="zh-CN"/>
        </w:rPr>
        <w:t>2015 28th IEEE International Conference on Micro Electro Mechanical Systems (MEMS)</w:t>
      </w:r>
      <w:r w:rsidRPr="00FA0888">
        <w:rPr>
          <w:rFonts w:eastAsia="宋体"/>
          <w:sz w:val="19"/>
          <w:szCs w:val="19"/>
          <w:lang w:eastAsia="zh-CN"/>
        </w:rPr>
        <w:t xml:space="preserve"> (pp. 354–357). IEEE.</w:t>
      </w:r>
    </w:p>
    <w:p w:rsidR="00A10C81" w:rsidRDefault="00A10C81" w:rsidP="00A10C81">
      <w:pPr>
        <w:numPr>
          <w:ilvl w:val="0"/>
          <w:numId w:val="24"/>
        </w:numPr>
        <w:shd w:val="clear" w:color="auto" w:fill="FFFFFF"/>
        <w:spacing w:before="100" w:beforeAutospacing="1" w:after="120"/>
        <w:jc w:val="left"/>
        <w:rPr>
          <w:sz w:val="19"/>
          <w:szCs w:val="19"/>
          <w:lang w:val="en-IN" w:eastAsia="en-IN"/>
        </w:rPr>
      </w:pPr>
      <w:r w:rsidRPr="00A10C81">
        <w:rPr>
          <w:rFonts w:eastAsia="宋体"/>
          <w:sz w:val="19"/>
          <w:szCs w:val="19"/>
          <w:lang w:eastAsia="zh-CN"/>
        </w:rPr>
        <w:t xml:space="preserve">Wu, C. C., Pan, T. M., Wu, C. S., Yen, L. C., Chuang, C. K., Pang, S. T., … Ko, F. H. (2012). Label-free detection of prostate specific antigen using a silicon nanobelt field-effect transistor. </w:t>
      </w:r>
      <w:r w:rsidRPr="00A10C81">
        <w:rPr>
          <w:rFonts w:eastAsia="宋体"/>
          <w:i/>
          <w:iCs/>
          <w:sz w:val="19"/>
          <w:szCs w:val="19"/>
          <w:lang w:eastAsia="zh-CN"/>
        </w:rPr>
        <w:t>International Journal of Electrochemical Science</w:t>
      </w:r>
      <w:r w:rsidRPr="00A10C81">
        <w:rPr>
          <w:rFonts w:eastAsia="宋体"/>
          <w:sz w:val="19"/>
          <w:szCs w:val="19"/>
          <w:lang w:eastAsia="zh-CN"/>
        </w:rPr>
        <w:t xml:space="preserve">, </w:t>
      </w:r>
      <w:r w:rsidRPr="00A10C81">
        <w:rPr>
          <w:rFonts w:eastAsia="宋体"/>
          <w:i/>
          <w:iCs/>
          <w:sz w:val="19"/>
          <w:szCs w:val="19"/>
          <w:lang w:eastAsia="zh-CN"/>
        </w:rPr>
        <w:t>7</w:t>
      </w:r>
      <w:r w:rsidRPr="00A10C81">
        <w:rPr>
          <w:rFonts w:eastAsia="宋体"/>
          <w:sz w:val="19"/>
          <w:szCs w:val="19"/>
          <w:lang w:eastAsia="zh-CN"/>
        </w:rPr>
        <w:t>(5), 4432–4442.</w:t>
      </w:r>
    </w:p>
    <w:p w:rsidR="00A10C81" w:rsidRDefault="00A10C81" w:rsidP="00A10C81">
      <w:pPr>
        <w:numPr>
          <w:ilvl w:val="0"/>
          <w:numId w:val="24"/>
        </w:numPr>
        <w:shd w:val="clear" w:color="auto" w:fill="FFFFFF"/>
        <w:spacing w:before="100" w:beforeAutospacing="1" w:after="120"/>
        <w:jc w:val="left"/>
        <w:rPr>
          <w:sz w:val="19"/>
          <w:szCs w:val="19"/>
          <w:lang w:val="en-IN" w:eastAsia="en-IN"/>
        </w:rPr>
      </w:pPr>
      <w:r w:rsidRPr="00A10C81">
        <w:rPr>
          <w:rFonts w:eastAsia="宋体"/>
          <w:sz w:val="19"/>
          <w:szCs w:val="19"/>
          <w:lang w:eastAsia="zh-CN"/>
        </w:rPr>
        <w:t xml:space="preserve">Yang, T.-H., Chen, T.-Y., Wu, N.-T., Chen, Y.-T., &amp; Huang, J.-J. (2017). IGZO-TFT Biosensors for Epstein-Barr Virus Protein Detection. </w:t>
      </w:r>
      <w:r w:rsidRPr="00A10C81">
        <w:rPr>
          <w:rFonts w:eastAsia="宋体"/>
          <w:i/>
          <w:iCs/>
          <w:sz w:val="19"/>
          <w:szCs w:val="19"/>
          <w:lang w:eastAsia="zh-CN"/>
        </w:rPr>
        <w:t>IEEE Transactions on Electron Devices</w:t>
      </w:r>
      <w:r w:rsidRPr="00A10C81">
        <w:rPr>
          <w:rFonts w:eastAsia="宋体"/>
          <w:sz w:val="19"/>
          <w:szCs w:val="19"/>
          <w:lang w:eastAsia="zh-CN"/>
        </w:rPr>
        <w:t xml:space="preserve">, </w:t>
      </w:r>
      <w:r w:rsidRPr="00A10C81">
        <w:rPr>
          <w:rFonts w:eastAsia="宋体"/>
          <w:i/>
          <w:iCs/>
          <w:sz w:val="19"/>
          <w:szCs w:val="19"/>
          <w:lang w:eastAsia="zh-CN"/>
        </w:rPr>
        <w:t>64</w:t>
      </w:r>
      <w:r w:rsidRPr="00A10C81">
        <w:rPr>
          <w:rFonts w:eastAsia="宋体"/>
          <w:sz w:val="19"/>
          <w:szCs w:val="19"/>
          <w:lang w:eastAsia="zh-CN"/>
        </w:rPr>
        <w:t xml:space="preserve">(3), 1–6. </w:t>
      </w:r>
    </w:p>
    <w:p w:rsidR="00A10C81" w:rsidRPr="00A10C81" w:rsidRDefault="00A10C81" w:rsidP="00A10C81">
      <w:pPr>
        <w:shd w:val="clear" w:color="auto" w:fill="FFFFFF"/>
        <w:spacing w:before="100" w:beforeAutospacing="1" w:after="120"/>
        <w:ind w:left="360"/>
        <w:jc w:val="left"/>
        <w:rPr>
          <w:sz w:val="19"/>
          <w:szCs w:val="19"/>
          <w:lang w:val="en-IN" w:eastAsia="en-IN"/>
        </w:rPr>
      </w:pPr>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861508" w:rsidRPr="0005164C" w:rsidRDefault="00A10C81" w:rsidP="00861508">
      <w:pPr>
        <w:jc w:val="both"/>
        <w:rPr>
          <w:rFonts w:eastAsia="MS PGothic"/>
          <w:b/>
          <w:sz w:val="19"/>
          <w:szCs w:val="19"/>
        </w:rPr>
      </w:pPr>
      <w:proofErr w:type="spellStart"/>
      <w:r>
        <w:rPr>
          <w:sz w:val="19"/>
          <w:szCs w:val="19"/>
        </w:rPr>
        <w:t>Dongchen</w:t>
      </w:r>
      <w:proofErr w:type="spellEnd"/>
      <w:r>
        <w:rPr>
          <w:sz w:val="19"/>
          <w:szCs w:val="19"/>
        </w:rPr>
        <w:t xml:space="preserve"> Zhu </w:t>
      </w:r>
      <w:r w:rsidR="00861508" w:rsidRPr="0005164C">
        <w:rPr>
          <w:sz w:val="19"/>
          <w:szCs w:val="19"/>
        </w:rPr>
        <w:t xml:space="preserve">has completed his </w:t>
      </w:r>
      <w:r>
        <w:rPr>
          <w:sz w:val="19"/>
          <w:szCs w:val="19"/>
        </w:rPr>
        <w:t xml:space="preserve">bachelor </w:t>
      </w:r>
      <w:r w:rsidR="00861508" w:rsidRPr="0005164C">
        <w:rPr>
          <w:sz w:val="19"/>
          <w:szCs w:val="19"/>
        </w:rPr>
        <w:t>at the age of 2</w:t>
      </w:r>
      <w:r>
        <w:rPr>
          <w:sz w:val="19"/>
          <w:szCs w:val="19"/>
        </w:rPr>
        <w:t>22</w:t>
      </w:r>
      <w:r w:rsidR="00861508" w:rsidRPr="0005164C">
        <w:rPr>
          <w:sz w:val="19"/>
          <w:szCs w:val="19"/>
        </w:rPr>
        <w:t xml:space="preserve">years from </w:t>
      </w:r>
      <w:r>
        <w:rPr>
          <w:sz w:val="19"/>
          <w:szCs w:val="19"/>
        </w:rPr>
        <w:t xml:space="preserve">Shanghai </w:t>
      </w:r>
      <w:proofErr w:type="spellStart"/>
      <w:r>
        <w:rPr>
          <w:sz w:val="19"/>
          <w:szCs w:val="19"/>
        </w:rPr>
        <w:t>Jiaotong</w:t>
      </w:r>
      <w:proofErr w:type="spellEnd"/>
      <w:r w:rsidR="00E177DC" w:rsidRPr="0005164C">
        <w:rPr>
          <w:sz w:val="19"/>
          <w:szCs w:val="19"/>
        </w:rPr>
        <w:t xml:space="preserve"> </w:t>
      </w:r>
      <w:r w:rsidR="00861508" w:rsidRPr="0005164C">
        <w:rPr>
          <w:sz w:val="19"/>
          <w:szCs w:val="19"/>
        </w:rPr>
        <w:t>University</w:t>
      </w:r>
      <w:r>
        <w:rPr>
          <w:sz w:val="19"/>
          <w:szCs w:val="19"/>
        </w:rPr>
        <w:t>, China</w:t>
      </w:r>
      <w:r w:rsidR="00861508" w:rsidRPr="0005164C">
        <w:rPr>
          <w:sz w:val="19"/>
          <w:szCs w:val="19"/>
        </w:rPr>
        <w:t xml:space="preserve"> and </w:t>
      </w:r>
      <w:r>
        <w:rPr>
          <w:sz w:val="19"/>
          <w:szCs w:val="19"/>
        </w:rPr>
        <w:t>currently he is pursuing master</w:t>
      </w:r>
      <w:r w:rsidR="00861508" w:rsidRPr="0005164C">
        <w:rPr>
          <w:sz w:val="19"/>
          <w:szCs w:val="19"/>
        </w:rPr>
        <w:t xml:space="preserve"> </w:t>
      </w:r>
      <w:r>
        <w:rPr>
          <w:sz w:val="19"/>
          <w:szCs w:val="19"/>
        </w:rPr>
        <w:t>s</w:t>
      </w:r>
      <w:r w:rsidR="00861508" w:rsidRPr="0005164C">
        <w:rPr>
          <w:sz w:val="19"/>
          <w:szCs w:val="19"/>
        </w:rPr>
        <w:t xml:space="preserve">tudies from </w:t>
      </w:r>
      <w:r>
        <w:rPr>
          <w:sz w:val="19"/>
          <w:szCs w:val="19"/>
        </w:rPr>
        <w:t>Department of chemical system engineering</w:t>
      </w:r>
      <w:r w:rsidR="00E177DC">
        <w:rPr>
          <w:sz w:val="19"/>
          <w:szCs w:val="19"/>
        </w:rPr>
        <w:t>,</w:t>
      </w:r>
      <w:r>
        <w:rPr>
          <w:sz w:val="19"/>
          <w:szCs w:val="19"/>
        </w:rPr>
        <w:t xml:space="preserve"> Tokyo</w:t>
      </w:r>
      <w:r w:rsidR="00E177DC" w:rsidRPr="0005164C">
        <w:rPr>
          <w:sz w:val="19"/>
          <w:szCs w:val="19"/>
        </w:rPr>
        <w:t xml:space="preserve"> </w:t>
      </w:r>
      <w:r w:rsidR="00861508" w:rsidRPr="0005164C">
        <w:rPr>
          <w:sz w:val="19"/>
          <w:szCs w:val="19"/>
        </w:rPr>
        <w:t>University</w:t>
      </w:r>
      <w:r w:rsidR="00E177DC">
        <w:rPr>
          <w:sz w:val="19"/>
          <w:szCs w:val="19"/>
        </w:rPr>
        <w:t xml:space="preserve">, </w:t>
      </w:r>
      <w:r>
        <w:rPr>
          <w:sz w:val="19"/>
          <w:szCs w:val="19"/>
        </w:rPr>
        <w:t>Japan</w:t>
      </w:r>
      <w:r w:rsidR="00861508" w:rsidRPr="0005164C">
        <w:rPr>
          <w:sz w:val="19"/>
          <w:szCs w:val="19"/>
        </w:rPr>
        <w:t>.</w:t>
      </w:r>
      <w:r w:rsidR="00861508" w:rsidRPr="0005164C">
        <w:rPr>
          <w:sz w:val="19"/>
          <w:szCs w:val="19"/>
        </w:rPr>
        <w:tab/>
      </w:r>
      <w:r w:rsidR="00861508" w:rsidRPr="0005164C">
        <w:rPr>
          <w:sz w:val="19"/>
          <w:szCs w:val="19"/>
        </w:rPr>
        <w:br/>
      </w: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272C82" w:rsidRPr="0005164C" w:rsidRDefault="00A10C81" w:rsidP="00861508">
      <w:pPr>
        <w:autoSpaceDE w:val="0"/>
        <w:autoSpaceDN w:val="0"/>
        <w:adjustRightInd w:val="0"/>
        <w:jc w:val="left"/>
        <w:rPr>
          <w:sz w:val="19"/>
          <w:szCs w:val="19"/>
          <w:lang w:val="en-NZ"/>
        </w:rPr>
      </w:pPr>
      <w:r>
        <w:rPr>
          <w:noProof/>
          <w:sz w:val="19"/>
          <w:szCs w:val="19"/>
          <w:lang w:val="en-NZ"/>
        </w:rPr>
        <w:drawing>
          <wp:inline distT="0" distB="0" distL="0" distR="0">
            <wp:extent cx="1257300" cy="16129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9FBD5737-DF4F-4341-B658-A813ABA4D2E9-19463-000005162E10C6A5_tmp.JPG"/>
                    <pic:cNvPicPr/>
                  </pic:nvPicPr>
                  <pic:blipFill>
                    <a:blip r:embed="rId7"/>
                    <a:stretch>
                      <a:fillRect/>
                    </a:stretch>
                  </pic:blipFill>
                  <pic:spPr>
                    <a:xfrm>
                      <a:off x="0" y="0"/>
                      <a:ext cx="1257300" cy="1612900"/>
                    </a:xfrm>
                    <a:prstGeom prst="rect">
                      <a:avLst/>
                    </a:prstGeom>
                  </pic:spPr>
                </pic:pic>
              </a:graphicData>
            </a:graphic>
          </wp:inline>
        </w:drawing>
      </w:r>
      <w:r w:rsidR="00861508" w:rsidRPr="0005164C">
        <w:rPr>
          <w:sz w:val="19"/>
          <w:szCs w:val="19"/>
          <w:lang w:val="en-NZ"/>
        </w:rPr>
        <w:br/>
      </w: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A10C81">
        <w:rPr>
          <w:sz w:val="19"/>
          <w:szCs w:val="19"/>
          <w:lang w:val="en-NZ"/>
        </w:rPr>
        <w:t xml:space="preserve"> </w:t>
      </w:r>
      <w:proofErr w:type="spellStart"/>
      <w:r w:rsidR="00A10C81">
        <w:rPr>
          <w:sz w:val="19"/>
          <w:szCs w:val="19"/>
          <w:lang w:val="en-NZ"/>
        </w:rPr>
        <w:t>Dongchen</w:t>
      </w:r>
      <w:proofErr w:type="spellEnd"/>
      <w:r w:rsidR="00A10C81">
        <w:rPr>
          <w:sz w:val="19"/>
          <w:szCs w:val="19"/>
          <w:lang w:val="en-NZ"/>
        </w:rPr>
        <w:t xml:space="preserve"> Zhu</w:t>
      </w:r>
    </w:p>
    <w:p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A10C81">
        <w:rPr>
          <w:sz w:val="19"/>
          <w:szCs w:val="19"/>
          <w:lang w:val="en-NZ"/>
        </w:rPr>
        <w:t>+81 07039957978</w:t>
      </w:r>
      <w:r w:rsidRPr="0005164C">
        <w:rPr>
          <w:sz w:val="19"/>
          <w:szCs w:val="19"/>
          <w:lang w:val="en-NZ"/>
        </w:rPr>
        <w:br/>
        <w:t>Twitter account:</w:t>
      </w:r>
      <w:r w:rsidRPr="0005164C">
        <w:rPr>
          <w:sz w:val="19"/>
          <w:szCs w:val="19"/>
          <w:lang w:val="en-NZ"/>
        </w:rPr>
        <w:br/>
        <w:t>Linked In account:</w:t>
      </w:r>
    </w:p>
    <w:p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00A10C81">
        <w:rPr>
          <w:sz w:val="19"/>
          <w:szCs w:val="19"/>
          <w:lang w:val="en-NZ"/>
        </w:rPr>
        <w:t>1, 2, 3 and 4</w:t>
      </w:r>
      <w:r w:rsidRPr="0005164C">
        <w:rPr>
          <w:sz w:val="19"/>
          <w:szCs w:val="19"/>
          <w:lang w:val="en-NZ"/>
        </w:rPr>
        <w:br/>
        <w:t>Category: Poster presentation</w:t>
      </w:r>
    </w:p>
    <w:p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A10C81">
        <w:rPr>
          <w:sz w:val="18"/>
          <w:szCs w:val="18"/>
          <w:lang w:val="en-IN"/>
        </w:rPr>
        <w:t>E6752</w:t>
      </w:r>
      <w:r w:rsidR="00623D7D">
        <w:rPr>
          <w:sz w:val="18"/>
          <w:szCs w:val="18"/>
          <w:lang w:val="en-IN"/>
        </w:rPr>
        <w:t>9091</w:t>
      </w:r>
      <w:bookmarkStart w:id="0" w:name="_GoBack"/>
      <w:bookmarkEnd w:id="0"/>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Gautami">
    <w:panose1 w:val="020B0502040204020203"/>
    <w:charset w:val="00"/>
    <w:family w:val="swiss"/>
    <w:pitch w:val="variable"/>
    <w:sig w:usb0="002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0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15:restartNumberingAfterBreak="0">
    <w:nsid w:val="4189603E"/>
    <w:multiLevelType w:val="multilevel"/>
    <w:tmpl w:val="1E7CD33E"/>
    <w:lvl w:ilvl="0">
      <w:start w:val="1"/>
      <w:numFmt w:val="upperRoman"/>
      <w:pStyle w:val="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9A6"/>
    <w:rsid w:val="0004390D"/>
    <w:rsid w:val="0005164C"/>
    <w:rsid w:val="000B4641"/>
    <w:rsid w:val="0010711E"/>
    <w:rsid w:val="00127EDD"/>
    <w:rsid w:val="001E19E6"/>
    <w:rsid w:val="002043C0"/>
    <w:rsid w:val="00272C82"/>
    <w:rsid w:val="00276735"/>
    <w:rsid w:val="002864A3"/>
    <w:rsid w:val="002B3B81"/>
    <w:rsid w:val="002E5B20"/>
    <w:rsid w:val="00351E9B"/>
    <w:rsid w:val="003A47B5"/>
    <w:rsid w:val="003A59A6"/>
    <w:rsid w:val="003C0794"/>
    <w:rsid w:val="004059FE"/>
    <w:rsid w:val="004227FF"/>
    <w:rsid w:val="004445B3"/>
    <w:rsid w:val="005B520E"/>
    <w:rsid w:val="005B535B"/>
    <w:rsid w:val="006108A4"/>
    <w:rsid w:val="00623D7D"/>
    <w:rsid w:val="00663E31"/>
    <w:rsid w:val="006C4648"/>
    <w:rsid w:val="0072064C"/>
    <w:rsid w:val="007442B3"/>
    <w:rsid w:val="00753F7B"/>
    <w:rsid w:val="0078398E"/>
    <w:rsid w:val="00787C5A"/>
    <w:rsid w:val="007919DE"/>
    <w:rsid w:val="007C0308"/>
    <w:rsid w:val="008014D2"/>
    <w:rsid w:val="008054BC"/>
    <w:rsid w:val="00812538"/>
    <w:rsid w:val="00841147"/>
    <w:rsid w:val="00861508"/>
    <w:rsid w:val="00883A50"/>
    <w:rsid w:val="008A55B5"/>
    <w:rsid w:val="008A75C8"/>
    <w:rsid w:val="00907876"/>
    <w:rsid w:val="0097508D"/>
    <w:rsid w:val="009D49B8"/>
    <w:rsid w:val="00A10C81"/>
    <w:rsid w:val="00A510F7"/>
    <w:rsid w:val="00AC6519"/>
    <w:rsid w:val="00CB1404"/>
    <w:rsid w:val="00CB66E6"/>
    <w:rsid w:val="00D319E1"/>
    <w:rsid w:val="00D9156D"/>
    <w:rsid w:val="00E177DC"/>
    <w:rsid w:val="00E91219"/>
    <w:rsid w:val="00E918C4"/>
    <w:rsid w:val="00EA506F"/>
    <w:rsid w:val="00EE4362"/>
    <w:rsid w:val="00EF18D7"/>
    <w:rsid w:val="00EF1E8A"/>
    <w:rsid w:val="00EF3A1A"/>
    <w:rsid w:val="00FA0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BEA1C3"/>
  <w15:chartTrackingRefBased/>
  <w15:docId w15:val="{5C4FB1A2-B0AF-CD48-B5D1-8163CD549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EastAsia"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535B"/>
    <w:pPr>
      <w:jc w:val="center"/>
    </w:pPr>
    <w:rPr>
      <w:rFonts w:ascii="Times New Roman" w:hAnsi="Times New Roman"/>
      <w:lang w:eastAsia="en-US"/>
    </w:rPr>
  </w:style>
  <w:style w:type="paragraph" w:styleId="1">
    <w:name w:val="heading 1"/>
    <w:basedOn w:val="a"/>
    <w:next w:val="a"/>
    <w:link w:val="10"/>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2">
    <w:name w:val="heading 2"/>
    <w:basedOn w:val="a"/>
    <w:next w:val="a"/>
    <w:link w:val="20"/>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3">
    <w:name w:val="heading 3"/>
    <w:basedOn w:val="a"/>
    <w:next w:val="a"/>
    <w:link w:val="30"/>
    <w:uiPriority w:val="99"/>
    <w:qFormat/>
    <w:rsid w:val="004059FE"/>
    <w:pPr>
      <w:numPr>
        <w:ilvl w:val="2"/>
        <w:numId w:val="6"/>
      </w:numPr>
      <w:spacing w:line="240" w:lineRule="exact"/>
      <w:ind w:firstLine="288"/>
      <w:jc w:val="both"/>
      <w:outlineLvl w:val="2"/>
    </w:pPr>
    <w:rPr>
      <w:rFonts w:eastAsia="MS Mincho"/>
      <w:i/>
      <w:iCs/>
      <w:noProof/>
    </w:rPr>
  </w:style>
  <w:style w:type="paragraph" w:styleId="4">
    <w:name w:val="heading 4"/>
    <w:basedOn w:val="a"/>
    <w:next w:val="a"/>
    <w:link w:val="40"/>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5">
    <w:name w:val="heading 5"/>
    <w:basedOn w:val="a"/>
    <w:next w:val="a"/>
    <w:link w:val="50"/>
    <w:uiPriority w:val="99"/>
    <w:qFormat/>
    <w:pPr>
      <w:tabs>
        <w:tab w:val="left" w:pos="360"/>
      </w:tabs>
      <w:spacing w:before="160" w:after="80"/>
      <w:outlineLvl w:val="4"/>
    </w:pPr>
    <w:rPr>
      <w:smallCaps/>
      <w:noProof/>
    </w:rPr>
  </w:style>
  <w:style w:type="character" w:default="1" w:styleId="a0">
    <w:name w:val="Default Paragraph Font"/>
    <w:uiPriority w:val="99"/>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9"/>
    <w:locked/>
    <w:rsid w:val="00CB1404"/>
    <w:rPr>
      <w:rFonts w:ascii="Times New Roman" w:eastAsia="MS Mincho" w:hAnsi="Times New Roman"/>
      <w:smallCaps/>
      <w:noProof/>
    </w:rPr>
  </w:style>
  <w:style w:type="character" w:customStyle="1" w:styleId="20">
    <w:name w:val="标题 2 字符"/>
    <w:link w:val="2"/>
    <w:uiPriority w:val="99"/>
    <w:locked/>
    <w:rsid w:val="00EF3A1A"/>
    <w:rPr>
      <w:rFonts w:ascii="Times New Roman" w:eastAsia="MS Mincho" w:hAnsi="Times New Roman" w:cs="Times New Roman"/>
      <w:i/>
      <w:iCs/>
      <w:noProof/>
      <w:sz w:val="20"/>
      <w:szCs w:val="20"/>
    </w:rPr>
  </w:style>
  <w:style w:type="character" w:customStyle="1" w:styleId="30">
    <w:name w:val="标题 3 字符"/>
    <w:link w:val="3"/>
    <w:uiPriority w:val="99"/>
    <w:locked/>
    <w:rsid w:val="004059FE"/>
    <w:rPr>
      <w:rFonts w:ascii="Times New Roman" w:eastAsia="MS Mincho" w:hAnsi="Times New Roman" w:cs="Times New Roman"/>
      <w:i/>
      <w:iCs/>
      <w:noProof/>
      <w:sz w:val="20"/>
      <w:szCs w:val="20"/>
    </w:rPr>
  </w:style>
  <w:style w:type="character" w:customStyle="1" w:styleId="40">
    <w:name w:val="标题 4 字符"/>
    <w:link w:val="4"/>
    <w:uiPriority w:val="99"/>
    <w:locked/>
    <w:rsid w:val="004059FE"/>
    <w:rPr>
      <w:rFonts w:ascii="Times New Roman" w:eastAsia="MS Mincho" w:hAnsi="Times New Roman" w:cs="Times New Roman"/>
      <w:i/>
      <w:iCs/>
      <w:noProof/>
      <w:sz w:val="20"/>
      <w:szCs w:val="20"/>
    </w:rPr>
  </w:style>
  <w:style w:type="character" w:customStyle="1" w:styleId="50">
    <w:name w:val="标题 5 字符"/>
    <w:link w:val="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eastAsia="en-US"/>
    </w:rPr>
  </w:style>
  <w:style w:type="paragraph" w:customStyle="1" w:styleId="Affiliation">
    <w:name w:val="Affiliation"/>
    <w:uiPriority w:val="99"/>
    <w:pPr>
      <w:jc w:val="center"/>
    </w:pPr>
    <w:rPr>
      <w:rFonts w:ascii="Times New Roman" w:hAnsi="Times New Roman"/>
      <w:lang w:eastAsia="en-US"/>
    </w:rPr>
  </w:style>
  <w:style w:type="paragraph" w:customStyle="1" w:styleId="Author">
    <w:name w:val="Author"/>
    <w:uiPriority w:val="99"/>
    <w:pPr>
      <w:spacing w:before="360" w:after="40"/>
      <w:jc w:val="center"/>
    </w:pPr>
    <w:rPr>
      <w:rFonts w:ascii="Times New Roman" w:hAnsi="Times New Roman"/>
      <w:noProof/>
      <w:sz w:val="22"/>
      <w:szCs w:val="22"/>
      <w:lang w:eastAsia="en-US"/>
    </w:rPr>
  </w:style>
  <w:style w:type="paragraph" w:styleId="a3">
    <w:name w:val="Body Text"/>
    <w:basedOn w:val="a"/>
    <w:link w:val="a4"/>
    <w:uiPriority w:val="99"/>
    <w:rsid w:val="00753F7B"/>
    <w:pPr>
      <w:tabs>
        <w:tab w:val="left" w:pos="288"/>
      </w:tabs>
      <w:spacing w:after="120" w:line="228" w:lineRule="auto"/>
      <w:ind w:firstLine="288"/>
      <w:jc w:val="both"/>
    </w:pPr>
    <w:rPr>
      <w:rFonts w:eastAsia="MS Mincho"/>
      <w:spacing w:val="-1"/>
    </w:rPr>
  </w:style>
  <w:style w:type="character" w:customStyle="1" w:styleId="a4">
    <w:name w:val="正文文本 字符"/>
    <w:link w:val="a3"/>
    <w:uiPriority w:val="99"/>
    <w:locked/>
    <w:rsid w:val="00753F7B"/>
    <w:rPr>
      <w:rFonts w:ascii="Times New Roman" w:eastAsia="MS Mincho" w:hAnsi="Times New Roman" w:cs="Times New Roman"/>
      <w:sz w:val="20"/>
      <w:szCs w:val="20"/>
    </w:rPr>
  </w:style>
  <w:style w:type="paragraph" w:customStyle="1" w:styleId="bulletlist">
    <w:name w:val="bullet list"/>
    <w:basedOn w:val="a3"/>
    <w:rsid w:val="008054BC"/>
    <w:pPr>
      <w:numPr>
        <w:numId w:val="1"/>
      </w:numPr>
      <w:tabs>
        <w:tab w:val="clear" w:pos="648"/>
      </w:tabs>
      <w:ind w:left="576" w:hanging="288"/>
    </w:pPr>
  </w:style>
  <w:style w:type="paragraph" w:customStyle="1" w:styleId="equation">
    <w:name w:val="equation"/>
    <w:basedOn w:val="a"/>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eastAsia="en-US"/>
    </w:rPr>
  </w:style>
  <w:style w:type="paragraph" w:customStyle="1" w:styleId="tablecolhead">
    <w:name w:val="table col head"/>
    <w:basedOn w:val="a"/>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eastAsia="en-US"/>
    </w:rPr>
  </w:style>
  <w:style w:type="paragraph" w:styleId="a5">
    <w:name w:val="Normal (Web)"/>
    <w:basedOn w:val="a"/>
    <w:uiPriority w:val="99"/>
    <w:semiHidden/>
    <w:unhideWhenUsed/>
    <w:rsid w:val="003C0794"/>
    <w:pPr>
      <w:spacing w:before="100" w:beforeAutospacing="1" w:after="100" w:afterAutospacing="1"/>
      <w:jc w:val="left"/>
    </w:pPr>
    <w:rPr>
      <w:sz w:val="24"/>
      <w:szCs w:val="24"/>
      <w:lang w:val="en-IN" w:eastAsia="en-IN"/>
    </w:rPr>
  </w:style>
  <w:style w:type="character" w:styleId="a6">
    <w:name w:val="Strong"/>
    <w:uiPriority w:val="22"/>
    <w:qFormat/>
    <w:rsid w:val="003C0794"/>
    <w:rPr>
      <w:b/>
      <w:bCs/>
    </w:rPr>
  </w:style>
  <w:style w:type="character" w:styleId="a7">
    <w:name w:val="Hyperlink"/>
    <w:uiPriority w:val="99"/>
    <w:unhideWhenUsed/>
    <w:rsid w:val="003C0794"/>
    <w:rPr>
      <w:color w:val="0000FF"/>
      <w:u w:val="single"/>
    </w:rPr>
  </w:style>
  <w:style w:type="character" w:styleId="a8">
    <w:name w:val="Emphasis"/>
    <w:uiPriority w:val="20"/>
    <w:qFormat/>
    <w:rsid w:val="003C0794"/>
    <w:rPr>
      <w:i/>
      <w:iCs/>
    </w:rPr>
  </w:style>
  <w:style w:type="paragraph" w:styleId="a9">
    <w:name w:val="annotation text"/>
    <w:basedOn w:val="a"/>
    <w:link w:val="aa"/>
    <w:uiPriority w:val="99"/>
    <w:semiHidden/>
    <w:unhideWhenUsed/>
    <w:rsid w:val="003C0794"/>
  </w:style>
  <w:style w:type="character" w:customStyle="1" w:styleId="aa">
    <w:name w:val="批注文字 字符"/>
    <w:link w:val="a9"/>
    <w:uiPriority w:val="99"/>
    <w:semiHidden/>
    <w:rsid w:val="003C0794"/>
    <w:rPr>
      <w:rFonts w:ascii="Times New Roman" w:hAnsi="Times New Roman"/>
      <w:lang w:val="en-US" w:eastAsia="en-US"/>
    </w:rPr>
  </w:style>
  <w:style w:type="paragraph" w:styleId="ab">
    <w:name w:val="annotation subject"/>
    <w:basedOn w:val="a9"/>
    <w:next w:val="a9"/>
    <w:link w:val="ac"/>
    <w:uiPriority w:val="99"/>
    <w:semiHidden/>
    <w:rsid w:val="003C0794"/>
    <w:pPr>
      <w:jc w:val="left"/>
    </w:pPr>
    <w:rPr>
      <w:rFonts w:cs="Gautami"/>
      <w:b/>
      <w:bCs/>
      <w:lang w:val="x-none" w:eastAsia="x-none" w:bidi="te-IN"/>
    </w:rPr>
  </w:style>
  <w:style w:type="character" w:customStyle="1" w:styleId="ac">
    <w:name w:val="批注主题 字符"/>
    <w:link w:val="ab"/>
    <w:uiPriority w:val="99"/>
    <w:semiHidden/>
    <w:rsid w:val="003C0794"/>
    <w:rPr>
      <w:rFonts w:ascii="Times New Roman" w:hAnsi="Times New Roman" w:cs="Gautami"/>
      <w:b/>
      <w:bCs/>
      <w:lang w:val="x-none" w:eastAsia="x-none" w:bidi="te-IN"/>
    </w:rPr>
  </w:style>
  <w:style w:type="paragraph" w:styleId="ad">
    <w:name w:val="Balloon Text"/>
    <w:basedOn w:val="a"/>
    <w:link w:val="ae"/>
    <w:uiPriority w:val="99"/>
    <w:semiHidden/>
    <w:unhideWhenUsed/>
    <w:rsid w:val="001E19E6"/>
    <w:rPr>
      <w:rFonts w:ascii="宋体" w:eastAsia="宋体"/>
      <w:sz w:val="18"/>
      <w:szCs w:val="18"/>
    </w:rPr>
  </w:style>
  <w:style w:type="character" w:customStyle="1" w:styleId="ae">
    <w:name w:val="批注框文本 字符"/>
    <w:basedOn w:val="a0"/>
    <w:link w:val="ad"/>
    <w:uiPriority w:val="99"/>
    <w:semiHidden/>
    <w:rsid w:val="001E19E6"/>
    <w:rPr>
      <w:rFonts w:ascii="宋体" w:eastAsia="宋体" w:hAnsi="Times New Roman"/>
      <w:sz w:val="18"/>
      <w:szCs w:val="18"/>
      <w:lang w:eastAsia="en-US"/>
    </w:rPr>
  </w:style>
  <w:style w:type="character" w:styleId="af">
    <w:name w:val="Unresolved Mention"/>
    <w:basedOn w:val="a0"/>
    <w:uiPriority w:val="99"/>
    <w:semiHidden/>
    <w:unhideWhenUsed/>
    <w:rsid w:val="00A10C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65222">
      <w:bodyDiv w:val="1"/>
      <w:marLeft w:val="0"/>
      <w:marRight w:val="0"/>
      <w:marTop w:val="0"/>
      <w:marBottom w:val="0"/>
      <w:divBdr>
        <w:top w:val="none" w:sz="0" w:space="0" w:color="auto"/>
        <w:left w:val="none" w:sz="0" w:space="0" w:color="auto"/>
        <w:bottom w:val="none" w:sz="0" w:space="0" w:color="auto"/>
        <w:right w:val="none" w:sz="0" w:space="0" w:color="auto"/>
      </w:divBdr>
    </w:div>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375664333">
      <w:bodyDiv w:val="1"/>
      <w:marLeft w:val="0"/>
      <w:marRight w:val="0"/>
      <w:marTop w:val="0"/>
      <w:marBottom w:val="0"/>
      <w:divBdr>
        <w:top w:val="none" w:sz="0" w:space="0" w:color="auto"/>
        <w:left w:val="none" w:sz="0" w:space="0" w:color="auto"/>
        <w:bottom w:val="none" w:sz="0" w:space="0" w:color="auto"/>
        <w:right w:val="none" w:sz="0" w:space="0" w:color="auto"/>
      </w:divBdr>
    </w:div>
    <w:div w:id="665323028">
      <w:bodyDiv w:val="1"/>
      <w:marLeft w:val="0"/>
      <w:marRight w:val="0"/>
      <w:marTop w:val="0"/>
      <w:marBottom w:val="0"/>
      <w:divBdr>
        <w:top w:val="none" w:sz="0" w:space="0" w:color="auto"/>
        <w:left w:val="none" w:sz="0" w:space="0" w:color="auto"/>
        <w:bottom w:val="none" w:sz="0" w:space="0" w:color="auto"/>
        <w:right w:val="none" w:sz="0" w:space="0" w:color="auto"/>
      </w:divBdr>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 w:id="937103128">
      <w:bodyDiv w:val="1"/>
      <w:marLeft w:val="0"/>
      <w:marRight w:val="0"/>
      <w:marTop w:val="0"/>
      <w:marBottom w:val="0"/>
      <w:divBdr>
        <w:top w:val="none" w:sz="0" w:space="0" w:color="auto"/>
        <w:left w:val="none" w:sz="0" w:space="0" w:color="auto"/>
        <w:bottom w:val="none" w:sz="0" w:space="0" w:color="auto"/>
        <w:right w:val="none" w:sz="0" w:space="0" w:color="auto"/>
      </w:divBdr>
    </w:div>
    <w:div w:id="1307853607">
      <w:bodyDiv w:val="1"/>
      <w:marLeft w:val="0"/>
      <w:marRight w:val="0"/>
      <w:marTop w:val="0"/>
      <w:marBottom w:val="0"/>
      <w:divBdr>
        <w:top w:val="none" w:sz="0" w:space="0" w:color="auto"/>
        <w:left w:val="none" w:sz="0" w:space="0" w:color="auto"/>
        <w:bottom w:val="none" w:sz="0" w:space="0" w:color="auto"/>
        <w:right w:val="none" w:sz="0" w:space="0" w:color="auto"/>
      </w:divBdr>
    </w:div>
    <w:div w:id="151572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24037;&#20316;&#31807;2"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0" i="0" u="none" strike="noStrike" kern="1200" spc="0" baseline="0">
                <a:solidFill>
                  <a:schemeClr val="tx1">
                    <a:lumMod val="65000"/>
                    <a:lumOff val="35000"/>
                  </a:schemeClr>
                </a:solidFill>
                <a:latin typeface="Times New Roman" panose="02020603050405020304" pitchFamily="18" charset="0"/>
                <a:ea typeface="SimSun" panose="02010600030101010101" pitchFamily="2" charset="-122"/>
                <a:cs typeface="Times New Roman" panose="02020603050405020304" pitchFamily="18" charset="0"/>
              </a:defRPr>
            </a:pPr>
            <a:r>
              <a:rPr lang="en-US" altLang="zh-CN" sz="1600" baseline="0" dirty="0">
                <a:latin typeface="Times New Roman" panose="02020603050405020304" pitchFamily="18" charset="0"/>
                <a:ea typeface="SimSun" panose="02010600030101010101" pitchFamily="2" charset="-122"/>
                <a:cs typeface="Times New Roman" panose="02020603050405020304" pitchFamily="18" charset="0"/>
              </a:rPr>
              <a:t>Intensity of antibody-antigen binding signals</a:t>
            </a:r>
            <a:endParaRPr lang="en-US" altLang="zh-CN" sz="1600" dirty="0">
              <a:latin typeface="Times New Roman" panose="02020603050405020304" pitchFamily="18" charset="0"/>
              <a:ea typeface="SimSun" panose="02010600030101010101" pitchFamily="2" charset="-122"/>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0" i="0" u="none" strike="noStrike" kern="1200" spc="0" baseline="0">
              <a:solidFill>
                <a:schemeClr val="tx1">
                  <a:lumMod val="65000"/>
                  <a:lumOff val="35000"/>
                </a:schemeClr>
              </a:solidFill>
              <a:latin typeface="Times New Roman" panose="02020603050405020304" pitchFamily="18" charset="0"/>
              <a:ea typeface="SimSun" panose="02010600030101010101" pitchFamily="2" charset="-122"/>
              <a:cs typeface="Times New Roman" panose="02020603050405020304" pitchFamily="18" charset="0"/>
            </a:defRPr>
          </a:pPr>
          <a:endParaRPr lang="zh-CN"/>
        </a:p>
      </c:txPr>
    </c:title>
    <c:autoTitleDeleted val="0"/>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cust"/>
            <c:noEndCap val="0"/>
            <c:plus>
              <c:numRef>
                <c:f>Sheet1!$E$2:$E$5</c:f>
                <c:numCache>
                  <c:formatCode>General</c:formatCode>
                  <c:ptCount val="4"/>
                  <c:pt idx="0">
                    <c:v>2.8284271247461905E-3</c:v>
                  </c:pt>
                  <c:pt idx="1">
                    <c:v>1.4142135623730963E-3</c:v>
                  </c:pt>
                  <c:pt idx="2">
                    <c:v>4.9497474683058273E-3</c:v>
                  </c:pt>
                  <c:pt idx="3">
                    <c:v>1.6970562748477136E-2</c:v>
                  </c:pt>
                </c:numCache>
              </c:numRef>
            </c:plus>
            <c:minus>
              <c:numRef>
                <c:f>Sheet1!$E$2:$E$5</c:f>
                <c:numCache>
                  <c:formatCode>General</c:formatCode>
                  <c:ptCount val="4"/>
                  <c:pt idx="0">
                    <c:v>2.8284271247461905E-3</c:v>
                  </c:pt>
                  <c:pt idx="1">
                    <c:v>1.4142135623730963E-3</c:v>
                  </c:pt>
                  <c:pt idx="2">
                    <c:v>4.9497474683058273E-3</c:v>
                  </c:pt>
                  <c:pt idx="3">
                    <c:v>1.6970562748477136E-2</c:v>
                  </c:pt>
                </c:numCache>
              </c:numRef>
            </c:minus>
            <c:spPr>
              <a:noFill/>
              <a:ln w="9525" cap="flat" cmpd="sng" algn="ctr">
                <a:solidFill>
                  <a:schemeClr val="tx1">
                    <a:lumMod val="65000"/>
                    <a:lumOff val="35000"/>
                  </a:schemeClr>
                </a:solidFill>
                <a:round/>
              </a:ln>
              <a:effectLst/>
            </c:spPr>
          </c:errBars>
          <c:cat>
            <c:strRef>
              <c:f>Sheet1!$A$2:$A$5</c:f>
              <c:strCache>
                <c:ptCount val="4"/>
                <c:pt idx="0">
                  <c:v>PBS</c:v>
                </c:pt>
                <c:pt idx="1">
                  <c:v>0.1xPBS</c:v>
                </c:pt>
                <c:pt idx="2">
                  <c:v>0.0xxPBS</c:v>
                </c:pt>
                <c:pt idx="3">
                  <c:v>0.001xPBS</c:v>
                </c:pt>
              </c:strCache>
            </c:strRef>
          </c:cat>
          <c:val>
            <c:numRef>
              <c:f>Sheet1!$D$2:$D$5</c:f>
              <c:numCache>
                <c:formatCode>0.00%</c:formatCode>
                <c:ptCount val="4"/>
                <c:pt idx="0">
                  <c:v>1.7000000000000001E-2</c:v>
                </c:pt>
                <c:pt idx="1">
                  <c:v>4.1000000000000002E-2</c:v>
                </c:pt>
                <c:pt idx="2">
                  <c:v>8.6499999999999994E-2</c:v>
                </c:pt>
                <c:pt idx="3">
                  <c:v>0.108</c:v>
                </c:pt>
              </c:numCache>
            </c:numRef>
          </c:val>
          <c:smooth val="0"/>
          <c:extLst>
            <c:ext xmlns:c16="http://schemas.microsoft.com/office/drawing/2014/chart" uri="{C3380CC4-5D6E-409C-BE32-E72D297353CC}">
              <c16:uniqueId val="{00000000-AEC1-7241-B837-8F4143FE4016}"/>
            </c:ext>
          </c:extLst>
        </c:ser>
        <c:dLbls>
          <c:showLegendKey val="0"/>
          <c:showVal val="0"/>
          <c:showCatName val="0"/>
          <c:showSerName val="0"/>
          <c:showPercent val="0"/>
          <c:showBubbleSize val="0"/>
        </c:dLbls>
        <c:marker val="1"/>
        <c:smooth val="0"/>
        <c:axId val="182401007"/>
        <c:axId val="182402687"/>
      </c:lineChart>
      <c:catAx>
        <c:axId val="1824010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zh-CN"/>
          </a:p>
        </c:txPr>
        <c:crossAx val="182402687"/>
        <c:crosses val="autoZero"/>
        <c:auto val="1"/>
        <c:lblAlgn val="ctr"/>
        <c:lblOffset val="100"/>
        <c:noMultiLvlLbl val="0"/>
      </c:catAx>
      <c:valAx>
        <c:axId val="18240268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zh-CN"/>
          </a:p>
        </c:txPr>
        <c:crossAx val="18240100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主题​​">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主题​​">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TotalTime>
  <Pages>2</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3436</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朱　東晨</cp:lastModifiedBy>
  <cp:revision>2</cp:revision>
  <dcterms:created xsi:type="dcterms:W3CDTF">2019-05-31T14:56:00Z</dcterms:created>
  <dcterms:modified xsi:type="dcterms:W3CDTF">2019-05-31T14:56:00Z</dcterms:modified>
</cp:coreProperties>
</file>