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D137E" w14:textId="6181D334" w:rsidR="007A3913" w:rsidRPr="0051484B" w:rsidRDefault="007A3913" w:rsidP="00384101">
      <w:pPr>
        <w:spacing w:line="240" w:lineRule="auto"/>
        <w:jc w:val="center"/>
        <w:rPr>
          <w:rFonts w:ascii="Calibri" w:hAnsi="Calibri" w:cs="Calibri"/>
          <w:b/>
          <w:bCs/>
          <w:sz w:val="28"/>
          <w:szCs w:val="28"/>
          <w:lang w:val="en-US"/>
        </w:rPr>
      </w:pPr>
      <w:r w:rsidRPr="006B6864">
        <w:rPr>
          <w:rFonts w:ascii="Calibri" w:hAnsi="Calibri" w:cs="Calibri"/>
          <w:b/>
          <w:bCs/>
          <w:sz w:val="28"/>
          <w:szCs w:val="28"/>
          <w:lang w:val="en-US"/>
        </w:rPr>
        <w:t xml:space="preserve">Identifying </w:t>
      </w:r>
      <w:r w:rsidR="00B16A8F">
        <w:rPr>
          <w:rFonts w:ascii="Calibri" w:hAnsi="Calibri" w:cs="Calibri"/>
          <w:b/>
          <w:bCs/>
          <w:sz w:val="28"/>
          <w:szCs w:val="28"/>
          <w:lang w:val="en-US"/>
        </w:rPr>
        <w:t>r</w:t>
      </w:r>
      <w:r w:rsidR="00B16A8F" w:rsidRPr="006B6864">
        <w:rPr>
          <w:rFonts w:ascii="Calibri" w:hAnsi="Calibri" w:cs="Calibri"/>
          <w:b/>
          <w:bCs/>
          <w:sz w:val="28"/>
          <w:szCs w:val="28"/>
          <w:lang w:val="en-US"/>
        </w:rPr>
        <w:t xml:space="preserve">isks </w:t>
      </w:r>
      <w:r w:rsidRPr="006B6864">
        <w:rPr>
          <w:rFonts w:ascii="Calibri" w:hAnsi="Calibri" w:cs="Calibri"/>
          <w:b/>
          <w:bCs/>
          <w:sz w:val="28"/>
          <w:szCs w:val="28"/>
          <w:lang w:val="en-US"/>
        </w:rPr>
        <w:t xml:space="preserve">in a </w:t>
      </w:r>
      <w:r w:rsidR="00B16A8F">
        <w:rPr>
          <w:rFonts w:ascii="Calibri" w:hAnsi="Calibri" w:cs="Calibri"/>
          <w:b/>
          <w:bCs/>
          <w:sz w:val="28"/>
          <w:szCs w:val="28"/>
          <w:lang w:val="en-US"/>
        </w:rPr>
        <w:t>f</w:t>
      </w:r>
      <w:r w:rsidR="00B16A8F" w:rsidRPr="006B6864">
        <w:rPr>
          <w:rFonts w:ascii="Calibri" w:hAnsi="Calibri" w:cs="Calibri"/>
          <w:b/>
          <w:bCs/>
          <w:sz w:val="28"/>
          <w:szCs w:val="28"/>
          <w:lang w:val="en-US"/>
        </w:rPr>
        <w:t>lexible</w:t>
      </w:r>
      <w:r w:rsidRPr="006B6864">
        <w:rPr>
          <w:rFonts w:ascii="Calibri" w:hAnsi="Calibri" w:cs="Calibri"/>
          <w:b/>
          <w:bCs/>
          <w:sz w:val="28"/>
          <w:szCs w:val="28"/>
          <w:lang w:val="en-US"/>
        </w:rPr>
        <w:t xml:space="preserve"> </w:t>
      </w:r>
      <w:r w:rsidR="00B16A8F">
        <w:rPr>
          <w:rFonts w:ascii="Calibri" w:hAnsi="Calibri" w:cs="Calibri"/>
          <w:b/>
          <w:bCs/>
          <w:sz w:val="28"/>
          <w:szCs w:val="28"/>
          <w:lang w:val="en-US"/>
        </w:rPr>
        <w:t>f</w:t>
      </w:r>
      <w:r w:rsidR="00B16A8F" w:rsidRPr="006B6864">
        <w:rPr>
          <w:rFonts w:ascii="Calibri" w:hAnsi="Calibri" w:cs="Calibri"/>
          <w:b/>
          <w:bCs/>
          <w:sz w:val="28"/>
          <w:szCs w:val="28"/>
          <w:lang w:val="en-US"/>
        </w:rPr>
        <w:t xml:space="preserve">etoscope </w:t>
      </w:r>
      <w:r w:rsidRPr="006B6864">
        <w:rPr>
          <w:rFonts w:ascii="Calibri" w:hAnsi="Calibri" w:cs="Calibri"/>
          <w:b/>
          <w:bCs/>
          <w:sz w:val="28"/>
          <w:szCs w:val="28"/>
          <w:lang w:val="en-US"/>
        </w:rPr>
        <w:t xml:space="preserve">during the </w:t>
      </w:r>
      <w:r w:rsidR="00B16A8F">
        <w:rPr>
          <w:rFonts w:ascii="Calibri" w:hAnsi="Calibri" w:cs="Calibri"/>
          <w:b/>
          <w:bCs/>
          <w:sz w:val="28"/>
          <w:szCs w:val="28"/>
          <w:lang w:val="en-US"/>
        </w:rPr>
        <w:t>d</w:t>
      </w:r>
      <w:r w:rsidR="00B16A8F" w:rsidRPr="006B6864">
        <w:rPr>
          <w:rFonts w:ascii="Calibri" w:hAnsi="Calibri" w:cs="Calibri"/>
          <w:b/>
          <w:bCs/>
          <w:sz w:val="28"/>
          <w:szCs w:val="28"/>
          <w:lang w:val="en-US"/>
        </w:rPr>
        <w:t xml:space="preserve">esign </w:t>
      </w:r>
      <w:r w:rsidR="00B16A8F">
        <w:rPr>
          <w:rFonts w:ascii="Calibri" w:hAnsi="Calibri" w:cs="Calibri"/>
          <w:b/>
          <w:bCs/>
          <w:sz w:val="28"/>
          <w:szCs w:val="28"/>
          <w:lang w:val="en-US"/>
        </w:rPr>
        <w:t>p</w:t>
      </w:r>
      <w:r w:rsidR="00B16A8F" w:rsidRPr="006B6864">
        <w:rPr>
          <w:rFonts w:ascii="Calibri" w:hAnsi="Calibri" w:cs="Calibri"/>
          <w:b/>
          <w:bCs/>
          <w:sz w:val="28"/>
          <w:szCs w:val="28"/>
          <w:lang w:val="en-US"/>
        </w:rPr>
        <w:t xml:space="preserve">hase </w:t>
      </w:r>
      <w:r w:rsidRPr="006B6864">
        <w:rPr>
          <w:rFonts w:ascii="Calibri" w:hAnsi="Calibri" w:cs="Calibri"/>
          <w:b/>
          <w:bCs/>
          <w:sz w:val="28"/>
          <w:szCs w:val="28"/>
          <w:lang w:val="en-US"/>
        </w:rPr>
        <w:t xml:space="preserve">by </w:t>
      </w:r>
      <w:r w:rsidR="00B16A8F">
        <w:rPr>
          <w:rFonts w:ascii="Calibri" w:hAnsi="Calibri" w:cs="Calibri"/>
          <w:b/>
          <w:bCs/>
          <w:sz w:val="28"/>
          <w:szCs w:val="28"/>
          <w:lang w:val="en-US"/>
        </w:rPr>
        <w:t>a</w:t>
      </w:r>
      <w:r w:rsidRPr="006B6864">
        <w:rPr>
          <w:rFonts w:ascii="Calibri" w:hAnsi="Calibri" w:cs="Calibri"/>
          <w:b/>
          <w:bCs/>
          <w:sz w:val="28"/>
          <w:szCs w:val="28"/>
          <w:lang w:val="en-US"/>
        </w:rPr>
        <w:t>pplying a modified Delphi method</w:t>
      </w:r>
      <w:r w:rsidR="00367EFC" w:rsidRPr="0051484B">
        <w:rPr>
          <w:rFonts w:ascii="Calibri" w:hAnsi="Calibri" w:cs="Calibri"/>
          <w:b/>
          <w:bCs/>
          <w:sz w:val="28"/>
          <w:szCs w:val="28"/>
          <w:lang w:val="en-US"/>
        </w:rPr>
        <w:t xml:space="preserve"> for </w:t>
      </w:r>
      <w:r w:rsidR="00B16A8F">
        <w:rPr>
          <w:rFonts w:ascii="Calibri" w:hAnsi="Calibri" w:cs="Calibri"/>
          <w:b/>
          <w:bCs/>
          <w:sz w:val="28"/>
          <w:szCs w:val="28"/>
          <w:lang w:val="en-US"/>
        </w:rPr>
        <w:t>f</w:t>
      </w:r>
      <w:r w:rsidR="00367EFC" w:rsidRPr="0051484B">
        <w:rPr>
          <w:rFonts w:ascii="Calibri" w:hAnsi="Calibri" w:cs="Calibri"/>
          <w:b/>
          <w:bCs/>
          <w:sz w:val="28"/>
          <w:szCs w:val="28"/>
          <w:lang w:val="en-US"/>
        </w:rPr>
        <w:t>ailure mode and effect analysis</w:t>
      </w:r>
    </w:p>
    <w:p w14:paraId="09298DA1" w14:textId="4EFA558F" w:rsidR="008417DA" w:rsidRPr="00F71EB3" w:rsidRDefault="008417DA" w:rsidP="00ED6B1A">
      <w:pPr>
        <w:spacing w:after="0" w:line="360" w:lineRule="auto"/>
        <w:rPr>
          <w:rFonts w:ascii="Calibri" w:hAnsi="Calibri" w:cs="Calibri"/>
          <w:sz w:val="24"/>
          <w:szCs w:val="24"/>
        </w:rPr>
      </w:pPr>
      <w:r w:rsidRPr="006B6864">
        <w:rPr>
          <w:rFonts w:ascii="Calibri" w:hAnsi="Calibri" w:cs="Calibri"/>
          <w:b/>
          <w:bCs/>
          <w:sz w:val="24"/>
          <w:szCs w:val="24"/>
        </w:rPr>
        <w:t>Phokee W</w:t>
      </w:r>
      <w:r w:rsidRPr="006B6864">
        <w:rPr>
          <w:rFonts w:ascii="Calibri" w:hAnsi="Calibri" w:cs="Calibri"/>
          <w:sz w:val="24"/>
          <w:szCs w:val="24"/>
          <w:vertAlign w:val="superscript"/>
        </w:rPr>
        <w:t>1</w:t>
      </w:r>
      <w:r w:rsidR="0051484B" w:rsidRPr="006B6864">
        <w:rPr>
          <w:rFonts w:ascii="Calibri" w:hAnsi="Calibri" w:cs="Calibri"/>
          <w:sz w:val="24"/>
          <w:szCs w:val="24"/>
        </w:rPr>
        <w:t>,</w:t>
      </w:r>
      <w:r w:rsidRPr="006B6864">
        <w:rPr>
          <w:rFonts w:ascii="Calibri" w:hAnsi="Calibri" w:cs="Calibri"/>
          <w:sz w:val="24"/>
          <w:szCs w:val="24"/>
        </w:rPr>
        <w:t xml:space="preserve"> </w:t>
      </w:r>
      <w:r w:rsidRPr="006B6864">
        <w:rPr>
          <w:rFonts w:ascii="Calibri" w:hAnsi="Calibri" w:cs="Calibri"/>
          <w:b/>
          <w:bCs/>
          <w:sz w:val="24"/>
          <w:szCs w:val="24"/>
        </w:rPr>
        <w:t>Pintellon L</w:t>
      </w:r>
      <w:r w:rsidRPr="006B6864">
        <w:rPr>
          <w:rFonts w:ascii="Calibri" w:hAnsi="Calibri" w:cs="Calibri"/>
          <w:sz w:val="24"/>
          <w:szCs w:val="24"/>
          <w:vertAlign w:val="superscript"/>
        </w:rPr>
        <w:t>2</w:t>
      </w:r>
      <w:r w:rsidR="0051484B" w:rsidRPr="006B6864">
        <w:rPr>
          <w:rFonts w:ascii="Calibri" w:hAnsi="Calibri" w:cs="Calibri"/>
          <w:sz w:val="24"/>
          <w:szCs w:val="24"/>
        </w:rPr>
        <w:t>,</w:t>
      </w:r>
      <w:r w:rsidRPr="006B6864">
        <w:rPr>
          <w:rFonts w:ascii="Calibri" w:hAnsi="Calibri" w:cs="Calibri"/>
          <w:b/>
          <w:bCs/>
          <w:sz w:val="24"/>
          <w:szCs w:val="24"/>
        </w:rPr>
        <w:t xml:space="preserve"> </w:t>
      </w:r>
      <w:r w:rsidR="00F71EB3" w:rsidRPr="006B6864">
        <w:rPr>
          <w:rFonts w:ascii="Calibri" w:hAnsi="Calibri" w:cs="Calibri"/>
          <w:b/>
          <w:bCs/>
          <w:sz w:val="24"/>
          <w:szCs w:val="24"/>
        </w:rPr>
        <w:t xml:space="preserve">Vander </w:t>
      </w:r>
      <w:r w:rsidRPr="006B6864">
        <w:rPr>
          <w:rFonts w:ascii="Calibri" w:hAnsi="Calibri" w:cs="Calibri"/>
          <w:b/>
          <w:bCs/>
          <w:sz w:val="24"/>
          <w:szCs w:val="24"/>
        </w:rPr>
        <w:t>Poorten E</w:t>
      </w:r>
      <w:r w:rsidRPr="006B6864">
        <w:rPr>
          <w:rFonts w:ascii="Calibri" w:hAnsi="Calibri" w:cs="Calibri"/>
          <w:sz w:val="24"/>
          <w:szCs w:val="24"/>
          <w:vertAlign w:val="superscript"/>
        </w:rPr>
        <w:t>3</w:t>
      </w:r>
      <w:r w:rsidR="0051484B" w:rsidRPr="006B6864">
        <w:rPr>
          <w:rFonts w:ascii="Calibri" w:hAnsi="Calibri" w:cs="Calibri"/>
          <w:sz w:val="24"/>
          <w:szCs w:val="24"/>
        </w:rPr>
        <w:t>,</w:t>
      </w:r>
      <w:r w:rsidRPr="006B6864">
        <w:rPr>
          <w:rFonts w:ascii="Calibri" w:hAnsi="Calibri" w:cs="Calibri"/>
          <w:b/>
          <w:bCs/>
          <w:sz w:val="24"/>
          <w:szCs w:val="24"/>
        </w:rPr>
        <w:t xml:space="preserve"> Chatpun S</w:t>
      </w:r>
      <w:r w:rsidRPr="006B6864">
        <w:rPr>
          <w:rFonts w:ascii="Calibri" w:hAnsi="Calibri" w:cs="Calibri"/>
          <w:sz w:val="24"/>
          <w:szCs w:val="24"/>
          <w:vertAlign w:val="superscript"/>
        </w:rPr>
        <w:t>1</w:t>
      </w:r>
    </w:p>
    <w:p w14:paraId="05C5F092" w14:textId="6FF28097" w:rsidR="008417DA" w:rsidRPr="0051484B" w:rsidRDefault="008417DA" w:rsidP="00ED6B1A">
      <w:pPr>
        <w:spacing w:after="0" w:line="276" w:lineRule="auto"/>
        <w:rPr>
          <w:rFonts w:ascii="Calibri" w:hAnsi="Calibri" w:cs="Calibri"/>
          <w:sz w:val="24"/>
          <w:szCs w:val="24"/>
          <w:lang w:val="en-US"/>
        </w:rPr>
      </w:pPr>
      <w:r w:rsidRPr="0051484B">
        <w:rPr>
          <w:rFonts w:ascii="Calibri" w:hAnsi="Calibri" w:cs="Calibri"/>
          <w:sz w:val="24"/>
          <w:szCs w:val="24"/>
          <w:vertAlign w:val="superscript"/>
          <w:lang w:val="en-US"/>
        </w:rPr>
        <w:t>1</w:t>
      </w:r>
      <w:r w:rsidR="00B16A8F">
        <w:rPr>
          <w:rFonts w:ascii="Calibri" w:hAnsi="Calibri" w:cs="Calibri"/>
          <w:sz w:val="24"/>
          <w:szCs w:val="24"/>
          <w:lang w:val="en-US"/>
        </w:rPr>
        <w:t>Department</w:t>
      </w:r>
      <w:r w:rsidR="007F5FAB" w:rsidRPr="0051484B">
        <w:rPr>
          <w:rFonts w:ascii="Calibri" w:hAnsi="Calibri" w:cs="Calibri"/>
          <w:sz w:val="24"/>
          <w:szCs w:val="24"/>
          <w:lang w:val="en-US"/>
        </w:rPr>
        <w:t xml:space="preserve"> of Biomedical </w:t>
      </w:r>
      <w:r w:rsidR="00B16A8F">
        <w:rPr>
          <w:rFonts w:ascii="Calibri" w:hAnsi="Calibri" w:cs="Calibri"/>
          <w:sz w:val="24"/>
          <w:szCs w:val="24"/>
          <w:lang w:val="en-US"/>
        </w:rPr>
        <w:t xml:space="preserve">Sciences and Biomedical </w:t>
      </w:r>
      <w:r w:rsidR="007F5FAB" w:rsidRPr="0051484B">
        <w:rPr>
          <w:rFonts w:ascii="Calibri" w:hAnsi="Calibri" w:cs="Calibri"/>
          <w:sz w:val="24"/>
          <w:szCs w:val="24"/>
          <w:lang w:val="en-US"/>
        </w:rPr>
        <w:t xml:space="preserve">Engineering, </w:t>
      </w:r>
      <w:r w:rsidR="00BD5E90" w:rsidRPr="0051484B">
        <w:rPr>
          <w:rFonts w:ascii="Calibri" w:hAnsi="Calibri" w:cs="Calibri"/>
          <w:sz w:val="24"/>
          <w:szCs w:val="24"/>
          <w:lang w:val="en-US"/>
        </w:rPr>
        <w:t xml:space="preserve">Faculty of Medicine, </w:t>
      </w:r>
      <w:r w:rsidRPr="0051484B">
        <w:rPr>
          <w:rFonts w:ascii="Calibri" w:hAnsi="Calibri" w:cs="Calibri"/>
          <w:sz w:val="24"/>
          <w:szCs w:val="24"/>
          <w:lang w:val="en-US"/>
        </w:rPr>
        <w:t>Prince of Songkla University, Thailand</w:t>
      </w:r>
    </w:p>
    <w:p w14:paraId="7E6CAA9E" w14:textId="2B1BC891" w:rsidR="008417DA" w:rsidRPr="0051484B" w:rsidRDefault="008417DA" w:rsidP="00ED6B1A">
      <w:pPr>
        <w:spacing w:after="0" w:line="276" w:lineRule="auto"/>
        <w:rPr>
          <w:rFonts w:ascii="Calibri" w:hAnsi="Calibri" w:cs="Calibri"/>
          <w:sz w:val="24"/>
          <w:szCs w:val="24"/>
          <w:lang w:val="en-US"/>
        </w:rPr>
      </w:pPr>
      <w:r w:rsidRPr="0051484B">
        <w:rPr>
          <w:rFonts w:ascii="Calibri" w:hAnsi="Calibri" w:cs="Calibri"/>
          <w:sz w:val="24"/>
          <w:szCs w:val="24"/>
          <w:vertAlign w:val="superscript"/>
          <w:lang w:val="en-US"/>
        </w:rPr>
        <w:t>2</w:t>
      </w:r>
      <w:r w:rsidR="00BD5E90" w:rsidRPr="006B6864">
        <w:rPr>
          <w:rFonts w:ascii="Calibri" w:hAnsi="Calibri" w:cs="Calibri"/>
          <w:sz w:val="24"/>
          <w:szCs w:val="24"/>
          <w:lang w:val="en-US"/>
        </w:rPr>
        <w:t>Centre for Industrial Management, Department of Mechanical Engineering, Faculty of Engineering Technology,</w:t>
      </w:r>
      <w:r w:rsidR="00BD5E90" w:rsidRPr="0051484B">
        <w:rPr>
          <w:rFonts w:ascii="Calibri" w:hAnsi="Calibri" w:cs="Calibri"/>
          <w:sz w:val="24"/>
          <w:szCs w:val="24"/>
          <w:lang w:val="en-US"/>
        </w:rPr>
        <w:t xml:space="preserve"> KU </w:t>
      </w:r>
      <w:r w:rsidRPr="0051484B">
        <w:rPr>
          <w:rFonts w:ascii="Calibri" w:hAnsi="Calibri" w:cs="Calibri"/>
          <w:sz w:val="24"/>
          <w:szCs w:val="24"/>
          <w:lang w:val="en-US"/>
        </w:rPr>
        <w:t>Leuven, Belgium</w:t>
      </w:r>
    </w:p>
    <w:p w14:paraId="0253B9F2" w14:textId="793141D3" w:rsidR="008417DA" w:rsidRPr="006B6864" w:rsidRDefault="00BD5E90" w:rsidP="00ED6B1A">
      <w:pPr>
        <w:spacing w:after="0" w:line="276" w:lineRule="auto"/>
        <w:jc w:val="both"/>
        <w:rPr>
          <w:rFonts w:ascii="Calibri" w:hAnsi="Calibri" w:cs="Calibri"/>
          <w:sz w:val="24"/>
          <w:szCs w:val="24"/>
          <w:vertAlign w:val="superscript"/>
          <w:lang w:val="en-US"/>
        </w:rPr>
      </w:pPr>
      <w:r w:rsidRPr="0051484B">
        <w:rPr>
          <w:rFonts w:ascii="Calibri" w:hAnsi="Calibri" w:cs="Calibri"/>
          <w:sz w:val="24"/>
          <w:szCs w:val="24"/>
          <w:vertAlign w:val="superscript"/>
          <w:lang w:val="en-US"/>
        </w:rPr>
        <w:t>3</w:t>
      </w:r>
      <w:r w:rsidR="007F5FAB" w:rsidRPr="006B6864">
        <w:rPr>
          <w:rFonts w:ascii="Calibri" w:hAnsi="Calibri" w:cs="Calibri"/>
          <w:sz w:val="24"/>
          <w:szCs w:val="24"/>
          <w:lang w:val="en-US"/>
        </w:rPr>
        <w:t>Department of Mechanical Engineering, Faculty of Engineering Technology, Group T Leuven Campus, KU Leuven, Belgium</w:t>
      </w:r>
    </w:p>
    <w:p w14:paraId="147C71DA" w14:textId="77777777" w:rsidR="006A4823" w:rsidRPr="006A4823" w:rsidRDefault="006A4823" w:rsidP="0017253E">
      <w:pPr>
        <w:spacing w:after="0" w:line="360" w:lineRule="auto"/>
        <w:jc w:val="both"/>
        <w:rPr>
          <w:rFonts w:asciiTheme="majorHAnsi" w:hAnsiTheme="majorHAnsi" w:cstheme="majorHAnsi"/>
          <w:vertAlign w:val="superscript"/>
        </w:rPr>
      </w:pPr>
    </w:p>
    <w:p w14:paraId="393150D5" w14:textId="7F2E023A" w:rsidR="008417DA" w:rsidRPr="006B6864" w:rsidRDefault="008417DA" w:rsidP="0017253E">
      <w:pPr>
        <w:spacing w:after="0" w:line="360" w:lineRule="auto"/>
        <w:rPr>
          <w:rFonts w:ascii="Calibri" w:hAnsi="Calibri" w:cs="Calibri"/>
          <w:b/>
          <w:bCs/>
          <w:sz w:val="28"/>
          <w:szCs w:val="28"/>
          <w:lang w:val="en-US"/>
        </w:rPr>
      </w:pPr>
      <w:r w:rsidRPr="006B6864">
        <w:rPr>
          <w:rFonts w:ascii="Calibri" w:hAnsi="Calibri" w:cs="Calibri"/>
          <w:b/>
          <w:bCs/>
          <w:sz w:val="28"/>
          <w:szCs w:val="28"/>
          <w:lang w:val="en-US"/>
        </w:rPr>
        <w:t>Abstract:</w:t>
      </w:r>
    </w:p>
    <w:p w14:paraId="14A50D85" w14:textId="59663288" w:rsidR="00F71EB3" w:rsidRPr="001D06FC" w:rsidRDefault="008417DA" w:rsidP="00384101">
      <w:pPr>
        <w:spacing w:after="0" w:line="360" w:lineRule="auto"/>
        <w:jc w:val="both"/>
        <w:rPr>
          <w:rFonts w:ascii="Calibri" w:hAnsi="Calibri" w:cs="Calibri"/>
          <w:sz w:val="24"/>
          <w:szCs w:val="24"/>
          <w:lang w:val="en-US"/>
        </w:rPr>
      </w:pPr>
      <w:r w:rsidRPr="001D06FC">
        <w:rPr>
          <w:rFonts w:ascii="Calibri" w:hAnsi="Calibri" w:cs="Calibri"/>
        </w:rPr>
        <w:t xml:space="preserve">Statement of the Problem: </w:t>
      </w:r>
      <w:r w:rsidRPr="001D06FC">
        <w:rPr>
          <w:rFonts w:ascii="Calibri" w:hAnsi="Calibri" w:cs="Calibri"/>
          <w:sz w:val="24"/>
          <w:szCs w:val="24"/>
          <w:lang w:val="en-US"/>
        </w:rPr>
        <w:t>Failure mode and effect analysis (FMEA) has been widely used in healthcare to prevent adverse medical events and improve patient safety.</w:t>
      </w:r>
      <w:r w:rsidR="00624EF4" w:rsidRPr="001D06FC">
        <w:rPr>
          <w:rFonts w:ascii="Calibri" w:hAnsi="Calibri" w:cs="Calibri"/>
          <w:sz w:val="24"/>
          <w:szCs w:val="24"/>
          <w:lang w:val="en-US"/>
        </w:rPr>
        <w:t xml:space="preserve"> However, gathering high-quality data from a diverse team might be problematic </w:t>
      </w:r>
      <w:r w:rsidR="00F71EB3" w:rsidRPr="001D06FC">
        <w:rPr>
          <w:rFonts w:ascii="Calibri" w:hAnsi="Calibri" w:cs="Calibri"/>
          <w:sz w:val="24"/>
          <w:szCs w:val="24"/>
          <w:lang w:val="en-US"/>
        </w:rPr>
        <w:t xml:space="preserve">when </w:t>
      </w:r>
      <w:r w:rsidR="00624EF4" w:rsidRPr="001D06FC">
        <w:rPr>
          <w:rFonts w:ascii="Calibri" w:hAnsi="Calibri" w:cs="Calibri"/>
          <w:sz w:val="24"/>
          <w:szCs w:val="24"/>
          <w:lang w:val="en-US"/>
        </w:rPr>
        <w:t xml:space="preserve">using </w:t>
      </w:r>
      <w:r w:rsidR="00F71EB3" w:rsidRPr="001D06FC">
        <w:rPr>
          <w:rFonts w:ascii="Calibri" w:hAnsi="Calibri" w:cs="Calibri"/>
          <w:sz w:val="24"/>
          <w:szCs w:val="24"/>
          <w:lang w:val="en-US"/>
        </w:rPr>
        <w:t xml:space="preserve">a standard </w:t>
      </w:r>
      <w:r w:rsidR="00624EF4" w:rsidRPr="001D06FC">
        <w:rPr>
          <w:rFonts w:ascii="Calibri" w:hAnsi="Calibri" w:cs="Calibri"/>
          <w:sz w:val="24"/>
          <w:szCs w:val="24"/>
          <w:lang w:val="en-US"/>
        </w:rPr>
        <w:t>FMEA</w:t>
      </w:r>
      <w:r w:rsidR="00F71EB3" w:rsidRPr="001D06FC">
        <w:rPr>
          <w:rFonts w:ascii="Calibri" w:hAnsi="Calibri" w:cs="Calibri"/>
          <w:sz w:val="24"/>
          <w:szCs w:val="24"/>
          <w:lang w:val="en-US"/>
        </w:rPr>
        <w:t xml:space="preserve"> approach</w:t>
      </w:r>
      <w:r w:rsidR="00624EF4" w:rsidRPr="001D06FC">
        <w:rPr>
          <w:rFonts w:ascii="Calibri" w:hAnsi="Calibri" w:cs="Calibri"/>
          <w:sz w:val="24"/>
          <w:szCs w:val="24"/>
          <w:lang w:val="en-US"/>
        </w:rPr>
        <w:t xml:space="preserve">. </w:t>
      </w:r>
      <w:r w:rsidR="00F71EB3" w:rsidRPr="001D06FC">
        <w:rPr>
          <w:rFonts w:ascii="Calibri" w:hAnsi="Calibri" w:cs="Calibri"/>
          <w:sz w:val="24"/>
          <w:szCs w:val="24"/>
          <w:lang w:val="en-US"/>
        </w:rPr>
        <w:t>Especially the</w:t>
      </w:r>
      <w:r w:rsidR="00367EFC" w:rsidRPr="001D06FC">
        <w:rPr>
          <w:rFonts w:ascii="Calibri" w:hAnsi="Calibri" w:cs="Calibri"/>
          <w:sz w:val="24"/>
          <w:szCs w:val="24"/>
          <w:lang w:val="en-US"/>
        </w:rPr>
        <w:t xml:space="preserve"> </w:t>
      </w:r>
      <w:r w:rsidR="00F71EB3" w:rsidRPr="001D06FC">
        <w:rPr>
          <w:rFonts w:ascii="Calibri" w:hAnsi="Calibri" w:cs="Calibri"/>
          <w:sz w:val="24"/>
          <w:szCs w:val="24"/>
          <w:lang w:val="en-US"/>
        </w:rPr>
        <w:t xml:space="preserve">existence of a </w:t>
      </w:r>
      <w:r w:rsidR="00624EF4" w:rsidRPr="001D06FC">
        <w:rPr>
          <w:rFonts w:ascii="Calibri" w:hAnsi="Calibri" w:cs="Calibri"/>
          <w:sz w:val="24"/>
          <w:szCs w:val="24"/>
          <w:lang w:val="en-US"/>
        </w:rPr>
        <w:t xml:space="preserve">group bias and </w:t>
      </w:r>
      <w:r w:rsidR="00F71EB3" w:rsidRPr="001D06FC">
        <w:rPr>
          <w:rFonts w:ascii="Calibri" w:hAnsi="Calibri" w:cs="Calibri"/>
          <w:sz w:val="24"/>
          <w:szCs w:val="24"/>
          <w:lang w:val="en-US"/>
        </w:rPr>
        <w:t>the</w:t>
      </w:r>
      <w:r w:rsidR="0051484B" w:rsidRPr="001D06FC">
        <w:rPr>
          <w:rFonts w:ascii="Calibri" w:hAnsi="Calibri" w:cs="Calibri"/>
          <w:sz w:val="24"/>
          <w:szCs w:val="24"/>
          <w:lang w:val="en-US"/>
        </w:rPr>
        <w:t xml:space="preserve"> </w:t>
      </w:r>
      <w:r w:rsidR="00624EF4" w:rsidRPr="001D06FC">
        <w:rPr>
          <w:rFonts w:ascii="Calibri" w:hAnsi="Calibri" w:cs="Calibri"/>
          <w:sz w:val="24"/>
          <w:szCs w:val="24"/>
          <w:lang w:val="en-US"/>
        </w:rPr>
        <w:t>excessive time consumption</w:t>
      </w:r>
      <w:r w:rsidR="00F71EB3" w:rsidRPr="001D06FC">
        <w:rPr>
          <w:rFonts w:ascii="Calibri" w:hAnsi="Calibri" w:cs="Calibri"/>
          <w:sz w:val="24"/>
          <w:szCs w:val="24"/>
          <w:lang w:val="en-US"/>
        </w:rPr>
        <w:t xml:space="preserve"> may be problematic</w:t>
      </w:r>
      <w:r w:rsidR="00624EF4" w:rsidRPr="001D06FC">
        <w:rPr>
          <w:rFonts w:ascii="Calibri" w:hAnsi="Calibri" w:cs="Calibri"/>
          <w:sz w:val="24"/>
          <w:szCs w:val="24"/>
          <w:lang w:val="en-US"/>
        </w:rPr>
        <w:t>.</w:t>
      </w:r>
      <w:r w:rsidR="007A3913" w:rsidRPr="001D06FC">
        <w:rPr>
          <w:rFonts w:ascii="Calibri" w:hAnsi="Calibri" w:cs="Calibri"/>
          <w:sz w:val="24"/>
          <w:szCs w:val="24"/>
          <w:lang w:val="en-US"/>
        </w:rPr>
        <w:t xml:space="preserve"> This study </w:t>
      </w:r>
      <w:r w:rsidR="0051484B" w:rsidRPr="001D06FC">
        <w:rPr>
          <w:rFonts w:ascii="Calibri" w:hAnsi="Calibri" w:cs="Calibri"/>
          <w:sz w:val="24"/>
          <w:szCs w:val="24"/>
          <w:lang w:val="en-US"/>
        </w:rPr>
        <w:t>propose</w:t>
      </w:r>
      <w:r w:rsidR="00F71EB3" w:rsidRPr="001D06FC">
        <w:rPr>
          <w:rFonts w:ascii="Calibri" w:hAnsi="Calibri" w:cs="Calibri"/>
          <w:sz w:val="24"/>
          <w:szCs w:val="24"/>
          <w:lang w:val="en-US"/>
        </w:rPr>
        <w:t>s</w:t>
      </w:r>
      <w:r w:rsidR="0051484B" w:rsidRPr="001D06FC">
        <w:rPr>
          <w:rFonts w:ascii="Calibri" w:hAnsi="Calibri" w:cs="Calibri"/>
          <w:sz w:val="24"/>
          <w:szCs w:val="24"/>
          <w:lang w:val="en-US"/>
        </w:rPr>
        <w:t xml:space="preserve"> </w:t>
      </w:r>
      <w:r w:rsidR="00F71EB3" w:rsidRPr="001D06FC">
        <w:rPr>
          <w:rFonts w:ascii="Calibri" w:hAnsi="Calibri" w:cs="Calibri"/>
          <w:sz w:val="24"/>
          <w:szCs w:val="24"/>
          <w:lang w:val="en-US"/>
        </w:rPr>
        <w:t xml:space="preserve">the use of </w:t>
      </w:r>
      <w:r w:rsidR="007A3913" w:rsidRPr="001D06FC">
        <w:rPr>
          <w:rFonts w:ascii="Calibri" w:hAnsi="Calibri" w:cs="Calibri"/>
          <w:sz w:val="24"/>
          <w:szCs w:val="24"/>
          <w:lang w:val="en-US"/>
        </w:rPr>
        <w:t xml:space="preserve">a modified Delphi technique for FMEA </w:t>
      </w:r>
      <w:r w:rsidR="00F71EB3" w:rsidRPr="001D06FC">
        <w:rPr>
          <w:rFonts w:ascii="Calibri" w:hAnsi="Calibri" w:cs="Calibri"/>
          <w:sz w:val="24"/>
          <w:szCs w:val="24"/>
          <w:lang w:val="en-US"/>
        </w:rPr>
        <w:t xml:space="preserve">to circumvent these problems. </w:t>
      </w:r>
    </w:p>
    <w:p w14:paraId="3DBDD4CF" w14:textId="6B463579" w:rsidR="0017253E" w:rsidRPr="001D06FC" w:rsidRDefault="008417DA" w:rsidP="00384101">
      <w:pPr>
        <w:spacing w:after="0" w:line="360" w:lineRule="auto"/>
        <w:jc w:val="both"/>
        <w:rPr>
          <w:rFonts w:ascii="Calibri" w:hAnsi="Calibri" w:cs="Calibri"/>
          <w:sz w:val="24"/>
          <w:szCs w:val="24"/>
          <w:lang w:val="en-US"/>
        </w:rPr>
      </w:pPr>
      <w:r w:rsidRPr="001D06FC">
        <w:rPr>
          <w:rFonts w:ascii="Calibri" w:hAnsi="Calibri" w:cs="Calibri"/>
          <w:sz w:val="24"/>
          <w:szCs w:val="24"/>
          <w:lang w:val="en-US"/>
        </w:rPr>
        <w:t>Methods:</w:t>
      </w:r>
      <w:r w:rsidR="007F5FAB" w:rsidRPr="001D06FC">
        <w:rPr>
          <w:rFonts w:ascii="Calibri" w:hAnsi="Calibri" w:cs="Calibri"/>
          <w:sz w:val="24"/>
          <w:szCs w:val="24"/>
          <w:lang w:val="en-US"/>
        </w:rPr>
        <w:t xml:space="preserve"> </w:t>
      </w:r>
      <w:r w:rsidR="00F71EB3" w:rsidRPr="001D06FC">
        <w:rPr>
          <w:rFonts w:ascii="Calibri" w:hAnsi="Calibri" w:cs="Calibri"/>
          <w:sz w:val="24"/>
          <w:szCs w:val="24"/>
          <w:lang w:val="en-US"/>
        </w:rPr>
        <w:t xml:space="preserve">The proposed method combining </w:t>
      </w:r>
      <w:r w:rsidRPr="001D06FC">
        <w:rPr>
          <w:rFonts w:ascii="Calibri" w:hAnsi="Calibri" w:cs="Calibri"/>
          <w:sz w:val="24"/>
          <w:szCs w:val="24"/>
          <w:lang w:val="en-US"/>
        </w:rPr>
        <w:t xml:space="preserve">FMEA </w:t>
      </w:r>
      <w:r w:rsidR="00F71EB3" w:rsidRPr="001D06FC">
        <w:rPr>
          <w:rFonts w:ascii="Calibri" w:hAnsi="Calibri" w:cs="Calibri"/>
          <w:sz w:val="24"/>
          <w:szCs w:val="24"/>
          <w:lang w:val="en-US"/>
        </w:rPr>
        <w:t xml:space="preserve">with a modified Delphi method </w:t>
      </w:r>
      <w:r w:rsidRPr="001D06FC">
        <w:rPr>
          <w:rFonts w:ascii="Calibri" w:hAnsi="Calibri" w:cs="Calibri"/>
          <w:sz w:val="24"/>
          <w:szCs w:val="24"/>
          <w:lang w:val="en-US"/>
        </w:rPr>
        <w:t xml:space="preserve">was applied to identify the risks of the flexible fetoscope </w:t>
      </w:r>
      <w:r w:rsidR="00F71EB3" w:rsidRPr="001D06FC">
        <w:rPr>
          <w:rFonts w:ascii="Calibri" w:hAnsi="Calibri" w:cs="Calibri"/>
          <w:sz w:val="24"/>
          <w:szCs w:val="24"/>
          <w:lang w:val="en-US"/>
        </w:rPr>
        <w:t>during the design phase</w:t>
      </w:r>
      <w:r w:rsidRPr="001D06FC">
        <w:rPr>
          <w:rFonts w:ascii="Calibri" w:hAnsi="Calibri" w:cs="Calibri"/>
          <w:sz w:val="24"/>
          <w:szCs w:val="24"/>
          <w:lang w:val="en-US"/>
        </w:rPr>
        <w:t xml:space="preserve">. </w:t>
      </w:r>
      <w:r w:rsidR="00F71EB3" w:rsidRPr="001D06FC">
        <w:rPr>
          <w:rFonts w:ascii="Calibri" w:hAnsi="Calibri" w:cs="Calibri"/>
          <w:sz w:val="24"/>
          <w:szCs w:val="24"/>
          <w:lang w:val="en-US"/>
        </w:rPr>
        <w:t xml:space="preserve">The data collection included eleven </w:t>
      </w:r>
      <w:r w:rsidRPr="001D06FC">
        <w:rPr>
          <w:rFonts w:ascii="Calibri" w:hAnsi="Calibri" w:cs="Calibri"/>
          <w:sz w:val="24"/>
          <w:szCs w:val="24"/>
          <w:lang w:val="en-US"/>
        </w:rPr>
        <w:t>multidisciplinary experts</w:t>
      </w:r>
      <w:r w:rsidR="00F71EB3" w:rsidRPr="001D06FC">
        <w:rPr>
          <w:rFonts w:ascii="Calibri" w:hAnsi="Calibri" w:cs="Calibri"/>
          <w:sz w:val="24"/>
          <w:szCs w:val="24"/>
          <w:lang w:val="en-US"/>
        </w:rPr>
        <w:t xml:space="preserve">, consisting of </w:t>
      </w:r>
      <w:r w:rsidRPr="001D06FC">
        <w:rPr>
          <w:rFonts w:ascii="Calibri" w:hAnsi="Calibri" w:cs="Calibri"/>
          <w:sz w:val="24"/>
          <w:szCs w:val="24"/>
          <w:lang w:val="en-US"/>
        </w:rPr>
        <w:t xml:space="preserve">6 engineers </w:t>
      </w:r>
      <w:r w:rsidR="00F71EB3" w:rsidRPr="001D06FC">
        <w:rPr>
          <w:rFonts w:ascii="Calibri" w:hAnsi="Calibri" w:cs="Calibri"/>
          <w:sz w:val="24"/>
          <w:szCs w:val="24"/>
          <w:lang w:val="en-US"/>
        </w:rPr>
        <w:t xml:space="preserve">from KU Leuven </w:t>
      </w:r>
      <w:r w:rsidRPr="001D06FC">
        <w:rPr>
          <w:rFonts w:ascii="Calibri" w:hAnsi="Calibri" w:cs="Calibri"/>
          <w:sz w:val="24"/>
          <w:szCs w:val="24"/>
          <w:lang w:val="en-US"/>
        </w:rPr>
        <w:t>and 5</w:t>
      </w:r>
      <w:r w:rsidR="002B5129" w:rsidRPr="001D06FC">
        <w:rPr>
          <w:rFonts w:ascii="Calibri" w:hAnsi="Calibri" w:cs="Calibri"/>
          <w:sz w:val="24"/>
          <w:szCs w:val="24"/>
          <w:lang w:val="en-US"/>
        </w:rPr>
        <w:t>obstetrician</w:t>
      </w:r>
      <w:r w:rsidRPr="001D06FC">
        <w:rPr>
          <w:rFonts w:ascii="Calibri" w:hAnsi="Calibri" w:cs="Calibri"/>
          <w:sz w:val="24"/>
          <w:szCs w:val="24"/>
          <w:lang w:val="en-US"/>
        </w:rPr>
        <w:t xml:space="preserve"> surgeons</w:t>
      </w:r>
      <w:r w:rsidR="00F71EB3" w:rsidRPr="001D06FC">
        <w:rPr>
          <w:rFonts w:ascii="Calibri" w:hAnsi="Calibri" w:cs="Calibri"/>
          <w:sz w:val="24"/>
          <w:szCs w:val="24"/>
          <w:lang w:val="en-US"/>
        </w:rPr>
        <w:t xml:space="preserve"> from Thailand</w:t>
      </w:r>
      <w:r w:rsidRPr="001D06FC">
        <w:rPr>
          <w:rFonts w:ascii="Calibri" w:hAnsi="Calibri" w:cs="Calibri"/>
          <w:sz w:val="24"/>
          <w:szCs w:val="24"/>
          <w:lang w:val="en-US"/>
        </w:rPr>
        <w:t xml:space="preserve">. The experts were asked open-ended questions via </w:t>
      </w:r>
      <w:r w:rsidR="00F71EB3" w:rsidRPr="001D06FC">
        <w:rPr>
          <w:rFonts w:ascii="Calibri" w:hAnsi="Calibri" w:cs="Calibri"/>
          <w:sz w:val="24"/>
          <w:szCs w:val="24"/>
          <w:lang w:val="en-US"/>
        </w:rPr>
        <w:t xml:space="preserve">an </w:t>
      </w:r>
      <w:r w:rsidRPr="001D06FC">
        <w:rPr>
          <w:rFonts w:ascii="Calibri" w:hAnsi="Calibri" w:cs="Calibri"/>
          <w:sz w:val="24"/>
          <w:szCs w:val="24"/>
          <w:lang w:val="en-US"/>
        </w:rPr>
        <w:t>online individual interview</w:t>
      </w:r>
      <w:r w:rsidR="00367EFC" w:rsidRPr="001D06FC">
        <w:rPr>
          <w:rFonts w:ascii="Calibri" w:hAnsi="Calibri" w:cs="Calibri"/>
          <w:sz w:val="24"/>
          <w:szCs w:val="24"/>
          <w:lang w:val="en-US"/>
        </w:rPr>
        <w:t xml:space="preserve"> at </w:t>
      </w:r>
      <w:r w:rsidR="00F71EB3" w:rsidRPr="001D06FC">
        <w:rPr>
          <w:rFonts w:ascii="Calibri" w:hAnsi="Calibri" w:cs="Calibri"/>
          <w:sz w:val="24"/>
          <w:szCs w:val="24"/>
          <w:lang w:val="en-US"/>
        </w:rPr>
        <w:t xml:space="preserve">a </w:t>
      </w:r>
      <w:r w:rsidR="00367EFC" w:rsidRPr="001D06FC">
        <w:rPr>
          <w:rFonts w:ascii="Calibri" w:hAnsi="Calibri" w:cs="Calibri"/>
          <w:sz w:val="24"/>
          <w:szCs w:val="24"/>
          <w:lang w:val="en-US"/>
        </w:rPr>
        <w:t xml:space="preserve">time </w:t>
      </w:r>
      <w:r w:rsidR="00F71EB3" w:rsidRPr="001D06FC">
        <w:rPr>
          <w:rFonts w:ascii="Calibri" w:hAnsi="Calibri" w:cs="Calibri"/>
          <w:sz w:val="24"/>
          <w:szCs w:val="24"/>
          <w:lang w:val="en-US"/>
        </w:rPr>
        <w:t xml:space="preserve">that was found </w:t>
      </w:r>
      <w:r w:rsidR="00367EFC" w:rsidRPr="001D06FC">
        <w:rPr>
          <w:rFonts w:ascii="Calibri" w:hAnsi="Calibri" w:cs="Calibri"/>
          <w:sz w:val="24"/>
          <w:szCs w:val="24"/>
          <w:lang w:val="en-US"/>
        </w:rPr>
        <w:t>convenient to them</w:t>
      </w:r>
      <w:r w:rsidRPr="001D06FC">
        <w:rPr>
          <w:rFonts w:ascii="Calibri" w:hAnsi="Calibri" w:cs="Calibri"/>
          <w:sz w:val="24"/>
          <w:szCs w:val="24"/>
          <w:lang w:val="en-US"/>
        </w:rPr>
        <w:t>.</w:t>
      </w:r>
      <w:r w:rsidR="0017253E" w:rsidRPr="001D06FC">
        <w:rPr>
          <w:rFonts w:ascii="Calibri" w:hAnsi="Calibri" w:cs="Calibri"/>
          <w:sz w:val="24"/>
          <w:szCs w:val="24"/>
          <w:lang w:val="en-US"/>
        </w:rPr>
        <w:t xml:space="preserve"> </w:t>
      </w:r>
      <w:r w:rsidR="00F71EB3" w:rsidRPr="001D06FC">
        <w:rPr>
          <w:rFonts w:ascii="Calibri" w:hAnsi="Calibri" w:cs="Calibri"/>
          <w:sz w:val="24"/>
          <w:szCs w:val="24"/>
          <w:lang w:val="en-US"/>
        </w:rPr>
        <w:t xml:space="preserve">They </w:t>
      </w:r>
      <w:r w:rsidR="00367EFC" w:rsidRPr="001D06FC">
        <w:rPr>
          <w:rFonts w:ascii="Calibri" w:hAnsi="Calibri" w:cs="Calibri"/>
          <w:sz w:val="24"/>
          <w:szCs w:val="24"/>
          <w:lang w:val="en-US"/>
        </w:rPr>
        <w:t>were allowed to review and edit their opinion throughout, before a facilitator created a summary report.</w:t>
      </w:r>
    </w:p>
    <w:p w14:paraId="462F64C2" w14:textId="0C443833" w:rsidR="0017253E" w:rsidRPr="001D06FC" w:rsidRDefault="007F5FAB" w:rsidP="00384101">
      <w:pPr>
        <w:spacing w:after="0" w:line="360" w:lineRule="auto"/>
        <w:jc w:val="both"/>
        <w:rPr>
          <w:rFonts w:ascii="Calibri" w:hAnsi="Calibri" w:cs="Calibri"/>
          <w:sz w:val="24"/>
          <w:szCs w:val="24"/>
          <w:lang w:val="en-US"/>
        </w:rPr>
      </w:pPr>
      <w:r w:rsidRPr="001D06FC">
        <w:rPr>
          <w:rFonts w:ascii="Calibri" w:hAnsi="Calibri" w:cs="Calibri"/>
          <w:sz w:val="24"/>
          <w:szCs w:val="24"/>
          <w:lang w:val="en-US"/>
        </w:rPr>
        <w:t xml:space="preserve">Findings: </w:t>
      </w:r>
      <w:r w:rsidR="00781EE1" w:rsidRPr="001D06FC">
        <w:rPr>
          <w:rFonts w:ascii="Calibri" w:hAnsi="Calibri" w:cs="Calibri"/>
          <w:sz w:val="24"/>
          <w:szCs w:val="24"/>
          <w:lang w:val="en-US"/>
        </w:rPr>
        <w:t xml:space="preserve">This study had a 100% participation rate. Experts provided their opinions without the risk of being dominated by others, and they were not informed of other information due to the anonymity method. Both steps are critical components of the modified Delphi technique. </w:t>
      </w:r>
      <w:r w:rsidR="008417DA" w:rsidRPr="001D06FC">
        <w:rPr>
          <w:rFonts w:ascii="Calibri" w:hAnsi="Calibri" w:cs="Calibri"/>
          <w:sz w:val="24"/>
          <w:szCs w:val="24"/>
          <w:lang w:val="en-US"/>
        </w:rPr>
        <w:t xml:space="preserve">Sixty-five potential failure modes were found. </w:t>
      </w:r>
      <w:r w:rsidR="00B16A8F" w:rsidRPr="001D06FC">
        <w:rPr>
          <w:rFonts w:ascii="Calibri" w:hAnsi="Calibri" w:cs="Calibri"/>
          <w:sz w:val="24"/>
          <w:szCs w:val="24"/>
          <w:lang w:val="en-US"/>
        </w:rPr>
        <w:t xml:space="preserve">Twenty-nine </w:t>
      </w:r>
      <w:r w:rsidR="008417DA" w:rsidRPr="001D06FC">
        <w:rPr>
          <w:rFonts w:ascii="Calibri" w:hAnsi="Calibri" w:cs="Calibri"/>
          <w:sz w:val="24"/>
          <w:szCs w:val="24"/>
          <w:lang w:val="en-US"/>
        </w:rPr>
        <w:t xml:space="preserve">(45%) potential failure modes affected patient safety (mother and fetus). </w:t>
      </w:r>
      <w:r w:rsidR="00B16A8F" w:rsidRPr="001D06FC">
        <w:rPr>
          <w:rFonts w:ascii="Calibri" w:hAnsi="Calibri" w:cs="Calibri"/>
          <w:sz w:val="24"/>
          <w:szCs w:val="24"/>
          <w:lang w:val="en-US"/>
        </w:rPr>
        <w:t xml:space="preserve">The failure mode related to </w:t>
      </w:r>
      <w:r w:rsidR="00F71EB3" w:rsidRPr="001D06FC">
        <w:rPr>
          <w:rFonts w:ascii="Calibri" w:hAnsi="Calibri" w:cs="Calibri"/>
          <w:sz w:val="24"/>
          <w:szCs w:val="24"/>
          <w:lang w:val="en-US"/>
        </w:rPr>
        <w:t xml:space="preserve">the </w:t>
      </w:r>
      <w:r w:rsidR="00B16A8F" w:rsidRPr="001D06FC">
        <w:rPr>
          <w:rFonts w:ascii="Calibri" w:hAnsi="Calibri" w:cs="Calibri"/>
          <w:sz w:val="24"/>
          <w:szCs w:val="24"/>
          <w:lang w:val="en-US"/>
        </w:rPr>
        <w:t>t</w:t>
      </w:r>
      <w:r w:rsidR="008417DA" w:rsidRPr="001D06FC">
        <w:rPr>
          <w:rFonts w:ascii="Calibri" w:hAnsi="Calibri" w:cs="Calibri"/>
          <w:sz w:val="24"/>
          <w:szCs w:val="24"/>
          <w:lang w:val="en-US"/>
        </w:rPr>
        <w:t>ip</w:t>
      </w:r>
      <w:r w:rsidR="00F71EB3" w:rsidRPr="001D06FC">
        <w:rPr>
          <w:rFonts w:ascii="Calibri" w:hAnsi="Calibri" w:cs="Calibri"/>
          <w:sz w:val="24"/>
          <w:szCs w:val="24"/>
          <w:lang w:val="en-US"/>
        </w:rPr>
        <w:t xml:space="preserve"> </w:t>
      </w:r>
      <w:r w:rsidR="0079754C" w:rsidRPr="001D06FC">
        <w:rPr>
          <w:rFonts w:ascii="Calibri" w:hAnsi="Calibri" w:cs="Calibri"/>
          <w:sz w:val="24"/>
          <w:szCs w:val="24"/>
          <w:lang w:val="en-US"/>
        </w:rPr>
        <w:t>of</w:t>
      </w:r>
      <w:r w:rsidR="00F71EB3" w:rsidRPr="001D06FC">
        <w:rPr>
          <w:rFonts w:ascii="Calibri" w:hAnsi="Calibri" w:cs="Calibri"/>
          <w:sz w:val="24"/>
          <w:szCs w:val="24"/>
          <w:lang w:val="en-US"/>
        </w:rPr>
        <w:t xml:space="preserve"> the instrument</w:t>
      </w:r>
      <w:r w:rsidR="008417DA" w:rsidRPr="001D06FC">
        <w:rPr>
          <w:rFonts w:ascii="Calibri" w:hAnsi="Calibri" w:cs="Calibri"/>
          <w:sz w:val="24"/>
          <w:szCs w:val="24"/>
          <w:lang w:val="en-US"/>
        </w:rPr>
        <w:t xml:space="preserve"> was </w:t>
      </w:r>
      <w:r w:rsidR="00F71EB3" w:rsidRPr="001D06FC">
        <w:rPr>
          <w:rFonts w:ascii="Calibri" w:hAnsi="Calibri" w:cs="Calibri"/>
          <w:sz w:val="24"/>
          <w:szCs w:val="24"/>
          <w:lang w:val="en-US"/>
        </w:rPr>
        <w:t>marked the most often</w:t>
      </w:r>
      <w:r w:rsidR="008417DA" w:rsidRPr="001D06FC">
        <w:rPr>
          <w:rFonts w:ascii="Calibri" w:hAnsi="Calibri" w:cs="Calibri"/>
          <w:sz w:val="24"/>
          <w:szCs w:val="24"/>
          <w:lang w:val="en-US"/>
        </w:rPr>
        <w:t xml:space="preserve"> (46%)</w:t>
      </w:r>
      <w:r w:rsidR="00F71EB3" w:rsidRPr="001D06FC">
        <w:rPr>
          <w:rFonts w:ascii="Calibri" w:hAnsi="Calibri" w:cs="Calibri"/>
          <w:sz w:val="24"/>
          <w:szCs w:val="24"/>
          <w:lang w:val="en-US"/>
        </w:rPr>
        <w:t>,</w:t>
      </w:r>
      <w:r w:rsidR="008417DA" w:rsidRPr="001D06FC">
        <w:rPr>
          <w:rFonts w:ascii="Calibri" w:hAnsi="Calibri" w:cs="Calibri"/>
          <w:sz w:val="24"/>
          <w:szCs w:val="24"/>
          <w:lang w:val="en-US"/>
        </w:rPr>
        <w:t xml:space="preserve"> followed </w:t>
      </w:r>
      <w:r w:rsidR="00F71EB3" w:rsidRPr="001D06FC">
        <w:rPr>
          <w:rFonts w:ascii="Calibri" w:hAnsi="Calibri" w:cs="Calibri"/>
          <w:sz w:val="24"/>
          <w:szCs w:val="24"/>
          <w:lang w:val="en-US"/>
        </w:rPr>
        <w:t xml:space="preserve">by the </w:t>
      </w:r>
      <w:r w:rsidR="008417DA" w:rsidRPr="001D06FC">
        <w:rPr>
          <w:rFonts w:ascii="Calibri" w:hAnsi="Calibri" w:cs="Calibri"/>
          <w:sz w:val="24"/>
          <w:szCs w:val="24"/>
          <w:lang w:val="en-US"/>
        </w:rPr>
        <w:t xml:space="preserve">handle (27%) and </w:t>
      </w:r>
      <w:r w:rsidR="00F71EB3" w:rsidRPr="001D06FC">
        <w:rPr>
          <w:rFonts w:ascii="Calibri" w:hAnsi="Calibri" w:cs="Calibri"/>
          <w:sz w:val="24"/>
          <w:szCs w:val="24"/>
          <w:lang w:val="en-US"/>
        </w:rPr>
        <w:t xml:space="preserve">the </w:t>
      </w:r>
      <w:r w:rsidR="008417DA" w:rsidRPr="001D06FC">
        <w:rPr>
          <w:rFonts w:ascii="Calibri" w:hAnsi="Calibri" w:cs="Calibri"/>
          <w:sz w:val="24"/>
          <w:szCs w:val="24"/>
          <w:lang w:val="en-US"/>
        </w:rPr>
        <w:t>flexible segment (27%)</w:t>
      </w:r>
      <w:r w:rsidR="00F71EB3" w:rsidRPr="001D06FC">
        <w:rPr>
          <w:rFonts w:ascii="Calibri" w:hAnsi="Calibri" w:cs="Calibri"/>
          <w:sz w:val="24"/>
          <w:szCs w:val="24"/>
          <w:lang w:val="en-US"/>
        </w:rPr>
        <w:t xml:space="preserve"> of the scope</w:t>
      </w:r>
      <w:r w:rsidR="008417DA" w:rsidRPr="001D06FC">
        <w:rPr>
          <w:rFonts w:ascii="Calibri" w:hAnsi="Calibri" w:cs="Calibri"/>
          <w:sz w:val="24"/>
          <w:szCs w:val="24"/>
          <w:lang w:val="en-US"/>
        </w:rPr>
        <w:t>.</w:t>
      </w:r>
    </w:p>
    <w:p w14:paraId="2953A684" w14:textId="7FC40570" w:rsidR="00781EE1" w:rsidRPr="001D06FC" w:rsidRDefault="008417DA" w:rsidP="00384101">
      <w:pPr>
        <w:spacing w:after="0" w:line="360" w:lineRule="auto"/>
        <w:jc w:val="both"/>
        <w:rPr>
          <w:rFonts w:ascii="Calibri" w:hAnsi="Calibri" w:cs="Calibri"/>
          <w:sz w:val="24"/>
          <w:szCs w:val="24"/>
          <w:lang w:val="en-US"/>
        </w:rPr>
      </w:pPr>
      <w:r w:rsidRPr="001D06FC">
        <w:rPr>
          <w:rFonts w:ascii="Calibri" w:hAnsi="Calibri" w:cs="Calibri"/>
          <w:sz w:val="24"/>
          <w:szCs w:val="24"/>
          <w:lang w:val="en-US"/>
        </w:rPr>
        <w:t xml:space="preserve">Conclusion and </w:t>
      </w:r>
      <w:r w:rsidR="007F5FAB" w:rsidRPr="001D06FC">
        <w:rPr>
          <w:rFonts w:ascii="Calibri" w:hAnsi="Calibri" w:cs="Calibri"/>
          <w:sz w:val="24"/>
          <w:szCs w:val="24"/>
          <w:lang w:val="en-US"/>
        </w:rPr>
        <w:t xml:space="preserve">Significant: </w:t>
      </w:r>
      <w:r w:rsidR="00B16A8F" w:rsidRPr="001D06FC">
        <w:rPr>
          <w:rFonts w:ascii="Calibri" w:hAnsi="Calibri" w:cs="Calibri"/>
          <w:sz w:val="24"/>
          <w:szCs w:val="24"/>
          <w:lang w:val="en-US"/>
        </w:rPr>
        <w:t>T</w:t>
      </w:r>
      <w:r w:rsidR="00367EFC" w:rsidRPr="001D06FC">
        <w:rPr>
          <w:rFonts w:ascii="Calibri" w:hAnsi="Calibri" w:cs="Calibri"/>
          <w:sz w:val="24"/>
          <w:szCs w:val="24"/>
          <w:lang w:val="en-US"/>
        </w:rPr>
        <w:t xml:space="preserve">he modified Delphi technique </w:t>
      </w:r>
      <w:r w:rsidR="00B16A8F" w:rsidRPr="001D06FC">
        <w:rPr>
          <w:rFonts w:ascii="Calibri" w:hAnsi="Calibri" w:cs="Calibri"/>
          <w:sz w:val="24"/>
          <w:szCs w:val="24"/>
          <w:lang w:val="en-US"/>
        </w:rPr>
        <w:t xml:space="preserve">is </w:t>
      </w:r>
      <w:r w:rsidR="00367EFC" w:rsidRPr="001D06FC">
        <w:rPr>
          <w:rFonts w:ascii="Calibri" w:hAnsi="Calibri" w:cs="Calibri"/>
          <w:sz w:val="24"/>
          <w:szCs w:val="24"/>
          <w:lang w:val="en-US"/>
        </w:rPr>
        <w:t>discovered to be useful and time efficient.</w:t>
      </w:r>
      <w:r w:rsidR="0076364A" w:rsidRPr="001D06FC">
        <w:rPr>
          <w:rFonts w:ascii="Calibri" w:hAnsi="Calibri" w:cs="Calibri"/>
          <w:sz w:val="24"/>
          <w:szCs w:val="24"/>
          <w:lang w:val="en-US"/>
        </w:rPr>
        <w:t xml:space="preserve"> </w:t>
      </w:r>
      <w:r w:rsidR="00781EE1" w:rsidRPr="001D06FC">
        <w:rPr>
          <w:rFonts w:ascii="Calibri" w:hAnsi="Calibri" w:cs="Calibri"/>
          <w:sz w:val="24"/>
          <w:szCs w:val="24"/>
          <w:lang w:val="en-US"/>
        </w:rPr>
        <w:t xml:space="preserve">This approach allows each expert the convenience of selecting a suitable time for a </w:t>
      </w:r>
      <w:r w:rsidR="00781EE1" w:rsidRPr="001D06FC">
        <w:rPr>
          <w:rFonts w:ascii="Calibri" w:hAnsi="Calibri" w:cs="Calibri"/>
          <w:sz w:val="24"/>
          <w:szCs w:val="24"/>
          <w:lang w:val="en-US"/>
        </w:rPr>
        <w:lastRenderedPageBreak/>
        <w:t>meeting, without a series of multiple meetings. The modified Delphi method also reduces the risk of group bias by anonymity in individual interviews.</w:t>
      </w:r>
    </w:p>
    <w:p w14:paraId="27B7AE24" w14:textId="77777777" w:rsidR="006A4823" w:rsidRDefault="006A4823" w:rsidP="00384101">
      <w:pPr>
        <w:spacing w:after="0" w:line="360" w:lineRule="auto"/>
        <w:jc w:val="both"/>
        <w:rPr>
          <w:rFonts w:asciiTheme="majorHAnsi" w:hAnsiTheme="majorHAnsi" w:cstheme="majorHAnsi"/>
          <w:lang w:val="en-US"/>
        </w:rPr>
      </w:pPr>
    </w:p>
    <w:p w14:paraId="5C09991B" w14:textId="77777777" w:rsidR="00452B58" w:rsidRPr="006B6864" w:rsidRDefault="00452B58" w:rsidP="00452B58">
      <w:pPr>
        <w:spacing w:after="0" w:line="360" w:lineRule="auto"/>
        <w:rPr>
          <w:rFonts w:ascii="Calibri" w:hAnsi="Calibri" w:cs="Calibri"/>
          <w:b/>
          <w:bCs/>
          <w:sz w:val="24"/>
          <w:szCs w:val="24"/>
          <w:lang w:val="en-US"/>
        </w:rPr>
      </w:pPr>
      <w:r w:rsidRPr="006B6864">
        <w:rPr>
          <w:rFonts w:ascii="Calibri" w:hAnsi="Calibri" w:cs="Calibri"/>
          <w:b/>
          <w:bCs/>
          <w:sz w:val="24"/>
          <w:szCs w:val="24"/>
          <w:lang w:val="en-US"/>
        </w:rPr>
        <w:t>Biography:</w:t>
      </w:r>
    </w:p>
    <w:p w14:paraId="7743751A" w14:textId="23932A25" w:rsidR="00452B58" w:rsidRPr="002B5129" w:rsidRDefault="00452B58" w:rsidP="00452B58">
      <w:pPr>
        <w:spacing w:after="0" w:line="360" w:lineRule="auto"/>
        <w:jc w:val="both"/>
        <w:rPr>
          <w:rFonts w:ascii="Calibri" w:hAnsi="Calibri" w:cs="Calibri"/>
          <w:b/>
          <w:bCs/>
          <w:sz w:val="24"/>
          <w:szCs w:val="24"/>
          <w:lang w:val="en-US"/>
        </w:rPr>
      </w:pPr>
      <w:r w:rsidRPr="002B5129">
        <w:rPr>
          <w:rFonts w:ascii="Calibri" w:hAnsi="Calibri" w:cs="Calibri"/>
          <w:sz w:val="24"/>
          <w:szCs w:val="24"/>
          <w:lang w:val="en-US"/>
        </w:rPr>
        <w:t xml:space="preserve">Wipharat Phokee is a doctoral student at the </w:t>
      </w:r>
      <w:r w:rsidR="00B16A8F">
        <w:rPr>
          <w:rFonts w:ascii="Calibri" w:hAnsi="Calibri" w:cs="Calibri"/>
          <w:sz w:val="24"/>
          <w:szCs w:val="24"/>
          <w:lang w:val="en-US"/>
        </w:rPr>
        <w:t>Department</w:t>
      </w:r>
      <w:r w:rsidR="00B16A8F" w:rsidRPr="0051484B">
        <w:rPr>
          <w:rFonts w:ascii="Calibri" w:hAnsi="Calibri" w:cs="Calibri"/>
          <w:sz w:val="24"/>
          <w:szCs w:val="24"/>
          <w:lang w:val="en-US"/>
        </w:rPr>
        <w:t xml:space="preserve"> of Biomedical </w:t>
      </w:r>
      <w:r w:rsidR="00B16A8F">
        <w:rPr>
          <w:rFonts w:ascii="Calibri" w:hAnsi="Calibri" w:cs="Calibri"/>
          <w:sz w:val="24"/>
          <w:szCs w:val="24"/>
          <w:lang w:val="en-US"/>
        </w:rPr>
        <w:t xml:space="preserve">Sciences and </w:t>
      </w:r>
      <w:r w:rsidRPr="002B5129">
        <w:rPr>
          <w:rFonts w:ascii="Calibri" w:hAnsi="Calibri" w:cs="Calibri"/>
          <w:sz w:val="24"/>
          <w:szCs w:val="24"/>
          <w:lang w:val="en-US"/>
        </w:rPr>
        <w:t xml:space="preserve">Biomedical Engineering, Faculty of Medicine, Prince of Songkla University, Thailand. Prior to that, she </w:t>
      </w:r>
      <w:r w:rsidRPr="002B5129">
        <w:rPr>
          <w:rFonts w:ascii="Calibri" w:eastAsia="Calibri" w:hAnsi="Calibri" w:cs="Calibri"/>
          <w:sz w:val="24"/>
          <w:szCs w:val="24"/>
          <w:lang w:val="en-US"/>
        </w:rPr>
        <w:t>obtained two bachelor’s degrees: one in occupational health and safety from Mahidol University, Thailand in 2000, and another in law from Sukhothai Thammathirat Open University, Thailand, in 2013. In 2005, she obtained a master’s degree in safety engineering from Kasetsart University, Thailand.</w:t>
      </w:r>
      <w:r w:rsidRPr="002B5129">
        <w:rPr>
          <w:rFonts w:ascii="Calibri" w:hAnsi="Calibri" w:cs="Calibri"/>
          <w:sz w:val="24"/>
          <w:szCs w:val="24"/>
          <w:lang w:val="en-US"/>
        </w:rPr>
        <w:t xml:space="preserve"> S</w:t>
      </w:r>
      <w:r w:rsidRPr="002B5129">
        <w:rPr>
          <w:rFonts w:ascii="Calibri" w:hAnsi="Calibri" w:cs="Calibri"/>
          <w:color w:val="333333"/>
          <w:sz w:val="24"/>
          <w:szCs w:val="24"/>
          <w:lang w:val="en-US"/>
        </w:rPr>
        <w:t xml:space="preserve">he is currently </w:t>
      </w:r>
      <w:r w:rsidR="00B16A8F">
        <w:rPr>
          <w:rFonts w:ascii="Calibri" w:hAnsi="Calibri" w:cs="Calibri"/>
          <w:color w:val="333333"/>
          <w:sz w:val="24"/>
          <w:szCs w:val="24"/>
          <w:lang w:val="en-US"/>
        </w:rPr>
        <w:t xml:space="preserve">also </w:t>
      </w:r>
      <w:r w:rsidRPr="002B5129">
        <w:rPr>
          <w:rFonts w:ascii="Calibri" w:hAnsi="Calibri" w:cs="Calibri"/>
          <w:color w:val="333333"/>
          <w:sz w:val="24"/>
          <w:szCs w:val="24"/>
          <w:lang w:val="en-US"/>
        </w:rPr>
        <w:t xml:space="preserve">an associate professor at Khon Kaen University, Thailand. </w:t>
      </w:r>
      <w:r w:rsidRPr="002B5129">
        <w:rPr>
          <w:rFonts w:ascii="Calibri" w:hAnsi="Calibri" w:cs="Calibri"/>
          <w:sz w:val="24"/>
          <w:szCs w:val="24"/>
          <w:lang w:val="en-US"/>
        </w:rPr>
        <w:t xml:space="preserve">Her research interests include risk management, accident prevention, FMEA, and the </w:t>
      </w:r>
      <w:r w:rsidRPr="002B5129">
        <w:rPr>
          <w:rFonts w:ascii="Calibri" w:hAnsi="Calibri" w:cs="Calibri"/>
          <w:i/>
          <w:iCs/>
          <w:sz w:val="24"/>
          <w:szCs w:val="24"/>
          <w:lang w:val="en-US"/>
        </w:rPr>
        <w:t>Delphi method</w:t>
      </w:r>
      <w:r w:rsidRPr="002B5129">
        <w:rPr>
          <w:rFonts w:ascii="Calibri" w:hAnsi="Calibri" w:cs="Calibri"/>
          <w:sz w:val="24"/>
          <w:szCs w:val="24"/>
          <w:lang w:val="en-US"/>
        </w:rPr>
        <w:t>.</w:t>
      </w:r>
    </w:p>
    <w:p w14:paraId="5880B0C0" w14:textId="77777777" w:rsidR="00452B58" w:rsidRPr="002B5129" w:rsidRDefault="00452B58" w:rsidP="00384101">
      <w:pPr>
        <w:spacing w:after="0" w:line="360" w:lineRule="auto"/>
        <w:jc w:val="both"/>
        <w:rPr>
          <w:rFonts w:ascii="Calibri" w:hAnsi="Calibri" w:cs="Calibri"/>
          <w:sz w:val="24"/>
          <w:szCs w:val="24"/>
          <w:lang w:val="en-US"/>
        </w:rPr>
      </w:pPr>
    </w:p>
    <w:p w14:paraId="55A52CA3" w14:textId="71F04D8B" w:rsidR="007F5FAB" w:rsidRPr="002B5129" w:rsidRDefault="007F5FAB" w:rsidP="00384101">
      <w:pPr>
        <w:spacing w:after="0" w:line="360" w:lineRule="auto"/>
        <w:jc w:val="both"/>
        <w:rPr>
          <w:rFonts w:ascii="Calibri" w:hAnsi="Calibri" w:cs="Calibri"/>
          <w:bCs/>
          <w:sz w:val="24"/>
          <w:szCs w:val="24"/>
          <w:lang w:val="en-US"/>
        </w:rPr>
      </w:pPr>
      <w:r w:rsidRPr="002B5129">
        <w:rPr>
          <w:rFonts w:ascii="Calibri" w:hAnsi="Calibri" w:cs="Calibri"/>
          <w:b/>
          <w:bCs/>
          <w:color w:val="000000"/>
          <w:sz w:val="24"/>
          <w:szCs w:val="24"/>
          <w:lang w:val="en-US"/>
        </w:rPr>
        <w:t>About Research Topic</w:t>
      </w:r>
      <w:r w:rsidR="00BD5E90" w:rsidRPr="002B5129">
        <w:rPr>
          <w:rFonts w:ascii="Calibri" w:hAnsi="Calibri" w:cs="Calibri"/>
          <w:b/>
          <w:bCs/>
          <w:color w:val="000000"/>
          <w:sz w:val="24"/>
          <w:szCs w:val="24"/>
          <w:lang w:val="en-US"/>
        </w:rPr>
        <w:t>:</w:t>
      </w:r>
      <w:r w:rsidR="00DC24AE" w:rsidRPr="002B5129">
        <w:rPr>
          <w:rFonts w:ascii="Calibri" w:hAnsi="Calibri" w:cs="Calibri"/>
          <w:b/>
          <w:bCs/>
          <w:color w:val="000000"/>
          <w:sz w:val="24"/>
          <w:szCs w:val="24"/>
          <w:lang w:val="en-US"/>
        </w:rPr>
        <w:t xml:space="preserve"> </w:t>
      </w:r>
      <w:r w:rsidR="00783060" w:rsidRPr="002B5129">
        <w:rPr>
          <w:rFonts w:ascii="Calibri" w:hAnsi="Calibri" w:cs="Calibri"/>
          <w:color w:val="000000"/>
          <w:sz w:val="24"/>
          <w:szCs w:val="24"/>
          <w:lang w:val="en-US"/>
        </w:rPr>
        <w:t>FMEA is used to examine healthcare systems.</w:t>
      </w:r>
      <w:r w:rsidR="00B73995" w:rsidRPr="002B5129">
        <w:rPr>
          <w:rFonts w:ascii="Calibri" w:hAnsi="Calibri" w:cs="Calibri"/>
          <w:color w:val="000000"/>
          <w:sz w:val="24"/>
          <w:szCs w:val="24"/>
          <w:lang w:val="en-US"/>
        </w:rPr>
        <w:fldChar w:fldCharType="begin" w:fldLock="1"/>
      </w:r>
      <w:r w:rsidR="007E2A1A" w:rsidRPr="002B5129">
        <w:rPr>
          <w:rFonts w:ascii="Calibri" w:hAnsi="Calibri" w:cs="Calibri"/>
          <w:color w:val="000000"/>
          <w:sz w:val="24"/>
          <w:szCs w:val="24"/>
          <w:lang w:val="en-US"/>
        </w:rPr>
        <w:instrText>ADDIN CSL_CITATION {"citationItems":[{"id":"ITEM-1","itemData":{"DOI":"10.1111/jep.13317","ISSN":"13652753","PMID":"31849153","abstract":"Rationale, aims, and objectives: Failure mode and effects analysis (FMEA) is a valuable reliability management tool that can preemptively identify the potential failures of a system and assess their causes and effects, thereby preventing them from occurring. The use of FMEA in the healthcare setting has become increasingly popular over the last decade, being applied to a multitude of different areas. The objective of this study is to review comprehensively the literature regarding the application of FMEA for healthcare risk analysis. Methods: An extensive search was carried out in the scholarly databases of Scopus and PubMed, and we only chose the academic articles which used the FMEA technique to solve healthcare risk analysis problems. Furthermore, a bibliometric analysis was performed based on the number of citations, publication year, appeared journals, authors, and country of origin. Results: A total of 158 journal papers published over the period of 1998 to 2018 were extracted and reviewed. These publications were classified into four categories (ie, healthcare process, hospital management, hospital informatization, and medical equipment and production) according to the healthcare issues to be solved, and analyzed regarding the application fields and the utilized FMEA methods. Conclusion: FMEA has high practicality for healthcare quality improvement and error reduction and has been prevalently employed to improve healthcare processes in hospitals. This research supports academics and practitioners in effectively adopting the FMEA tool to proactively reduce healthcare risks and increase patient safety, and provides an insight into its state-of-the-art.","author":[{"dropping-particle":"","family":"Liu","given":"Hu Chen","non-dropping-particle":"","parse-names":false,"suffix":""},{"dropping-particle":"","family":"Zhang","given":"Li Jun","non-dropping-particle":"","parse-names":false,"suffix":""},{"dropping-particle":"","family":"Ping","given":"Ye Jia","non-dropping-particle":"","parse-names":false,"suffix":""},{"dropping-particle":"","family":"Wang","given":"Liang","non-dropping-particle":"","parse-names":false,"suffix":""}],"container-title":"Journal of Evaluation in Clinical Practice","id":"ITEM-1","issue":"4","issued":{"date-parts":[["2020"]]},"page":"1320-1337","title":"Failure mode and effects analysis for proactive healthcare risk evaluation: A systematic literature review","type":"article-journal","volume":"26"},"uris":["http://www.mendeley.com/documents/?uuid=a8ef37fd-00b3-4b80-9840-a68fff972855"]},{"id":"ITEM-2","itemData":{"DOI":"10.1111/1754-9485.12762","ISSN":"17549485","PMID":"30052319","abstract":"Introduction: The international move towards digital healthcare record keeping has seen an increase in the number of radiotherapy departments moving towards a paperless framework. With the recent transition to a paperless radiation oncology framework at the Princess Alexandra Hospital Brisbane, it was crucial to perform a prospective risk assessment to quantify the most significant sources of risk in the electronic environment. Methods: A failure mode and effects analysis (FMEA) was performed using a web-based three-round Delphi technique. Participants included Radiation Therapists and Radiation Oncologists. A detailed process map was created of all process steps and their sub-processes from patient booking to treatment. The first round was an open qualitative round to identify failure modes. The subsequent rounds were used to score all failure modes using the risk priority number (RPN) scoring method, based on the product of occurrence, severity and detectability scoring. The final round was also used to identify risk mitigation strategies. Results: The process map consisted of 60 process steps and 141 sub-processes. A list of 83 failure modes was identified and consensus was achieved regarding the risk scoring for a prioritised list of 20. Four of the top five failure modes were related to communication errors. Eighteen feasible solutions were recommended for incorporating into clinical practice to increase patient safety. Conclusion: The FMEA proved a valuable systematic method of prospectively identifying vulnerabilities in a paperless radiotherapy department. In particular, this FMEA identified numerous failure modes concerning communication and documentation, highlighting the need for sustained vigilance when performing all electronic processes.","author":[{"dropping-particle":"","family":"Frewen","given":"Helen","non-dropping-particle":"","parse-names":false,"suffix":""},{"dropping-particle":"","family":"Brown","given":"Elizabeth","non-dropping-particle":"","parse-names":false,"suffix":""},{"dropping-particle":"","family":"Jenkins","given":"Michael","non-dropping-particle":"","parse-names":false,"suffix":""},{"dropping-particle":"","family":"O'Donovan","given":"Anita","non-dropping-particle":"","parse-names":false,"suffix":""}],"container-title":"J Med Imaging Radiat Oncol","id":"ITEM-2","issue":"5","issued":{"date-parts":[["2018"]]},"page":"707-715","title":"Failure mode and effects analysis in a paperless radiotherapy department","type":"article-journal","volume":"62"},"uris":["http://www.mendeley.com/documents/?uuid=ec559849-f21e-422b-a1b0-bbec0d42ac9e"]}],"mendeley":{"formattedCitation":"&lt;sup&gt;1,2&lt;/sup&gt;","plainTextFormattedCitation":"1,2","previouslyFormattedCitation":"&lt;sup&gt;1,2&lt;/sup&gt;"},"properties":{"noteIndex":0},"schema":"https://github.com/citation-style-language/schema/raw/master/csl-citation.json"}</w:instrText>
      </w:r>
      <w:r w:rsidR="00B73995" w:rsidRPr="002B5129">
        <w:rPr>
          <w:rFonts w:ascii="Calibri" w:hAnsi="Calibri" w:cs="Calibri"/>
          <w:color w:val="000000"/>
          <w:sz w:val="24"/>
          <w:szCs w:val="24"/>
          <w:lang w:val="en-US"/>
        </w:rPr>
        <w:fldChar w:fldCharType="separate"/>
      </w:r>
      <w:r w:rsidR="007E2A1A" w:rsidRPr="002B5129">
        <w:rPr>
          <w:rFonts w:ascii="Calibri" w:hAnsi="Calibri" w:cs="Calibri"/>
          <w:noProof/>
          <w:color w:val="000000"/>
          <w:sz w:val="24"/>
          <w:szCs w:val="24"/>
          <w:vertAlign w:val="superscript"/>
          <w:lang w:val="en-US"/>
        </w:rPr>
        <w:t>1,2</w:t>
      </w:r>
      <w:r w:rsidR="00B73995" w:rsidRPr="002B5129">
        <w:rPr>
          <w:rFonts w:ascii="Calibri" w:hAnsi="Calibri" w:cs="Calibri"/>
          <w:color w:val="000000"/>
          <w:sz w:val="24"/>
          <w:szCs w:val="24"/>
          <w:lang w:val="en-US"/>
        </w:rPr>
        <w:fldChar w:fldCharType="end"/>
      </w:r>
      <w:r w:rsidR="00783060" w:rsidRPr="002B5129">
        <w:rPr>
          <w:rFonts w:ascii="Calibri" w:hAnsi="Calibri" w:cs="Calibri"/>
          <w:color w:val="000000"/>
          <w:sz w:val="24"/>
          <w:szCs w:val="24"/>
          <w:lang w:val="en-US"/>
        </w:rPr>
        <w:t xml:space="preserve"> FMEA tries to minimize adverse medical occurrences by identifying a product's or system's failure modes.</w:t>
      </w:r>
      <w:r w:rsidR="00B73995" w:rsidRPr="002B5129">
        <w:rPr>
          <w:rFonts w:ascii="Calibri" w:hAnsi="Calibri" w:cs="Calibri"/>
          <w:color w:val="000000"/>
          <w:sz w:val="24"/>
          <w:szCs w:val="24"/>
          <w:lang w:val="en-US"/>
        </w:rPr>
        <w:fldChar w:fldCharType="begin" w:fldLock="1"/>
      </w:r>
      <w:r w:rsidR="007E2A1A" w:rsidRPr="002B5129">
        <w:rPr>
          <w:rFonts w:ascii="Calibri" w:hAnsi="Calibri" w:cs="Calibri"/>
          <w:color w:val="000000"/>
          <w:sz w:val="24"/>
          <w:szCs w:val="24"/>
          <w:lang w:val="en-US"/>
        </w:rPr>
        <w:instrText>ADDIN CSL_CITATION {"citationItems":[{"id":"ITEM-1","itemData":{"DOI":"10.1002/acm2.12205","ISSN":"15269914","PMID":"29082599","abstract":"Purpose: Gamma Knife radiosurgery is a highly precise and accurate treatment technique for treating brain diseases with low risk of serious error that nevertheless could potentially be reduced. We applied the AAPM Task Group 100 recommended failure modes and effects analysis (FMEA) tool to develop a risk-based quality management program for Gamma Knife radiosurgery. Methods: A team consisting of medical physicists, radiation oncologists, neurosurgeons, radiation safety officers, nurses, operating room technologists, and schedulers at our institution and an external physicist expert on Gamma Knife was formed for the FMEA study. A process tree and a failure mode table were created for the Gamma Knife radiosurgery procedures using the Leksell Gamma Knife Perfexion and 4C units. Three scores for the probability of occurrence (O), the severity (S), and the probability of no detection for failure mode (D) were assigned to each failure mode by 8 professionals on a scale from 1 to 10. An overall risk priority number (RPN) for each failure mode was then calculated from the averaged O, S, and D scores. The coefficient of variation for each O, S, or D score was also calculated. The failure modes identified were prioritized in terms of both the RPN scores and the severity scores. Results: The established process tree for Gamma Knife radiosurgery consists of 10 subprocesses and 53 steps, including a subprocess for frame placement and 11 steps that are directly related to the frame-based nature of the Gamma Knife radiosurgery. Out of the 86 failure modes identified, 40 Gamma Knife specific failure modes were caused by the potential for inappropriate use of the radiosurgery head frame, the imaging fiducial boxes, the Gamma Knife helmets and plugs, the skull definition tools as well as other features of the GammaPlan treatment planning system. The other 46 failure modes are associated with the registration, imaging, image transfer, contouring processes that are common for all external beam radiation therapy techniques. The failure modes with the highest hazard scores are related to imperfect frame adaptor attachment, bad fiducial box assembly, unsecured plugs/inserts, overlooked target areas, and undetected machine mechanical failure during the morning QA process. Conclusions: The implementation of the FMEA approach for Gamma Knife radiosurgery enabled deeper understanding of the overall process among all professionals involved in the care of the patient and helped ide…","author":[{"dropping-particle":"","family":"Xu","given":"Andy Yuanguang","non-dropping-particle":"","parse-names":false,"suffix":""},{"dropping-particle":"","family":"Bhatnagar","given":"Jagdish","non-dropping-particle":"","parse-names":false,"suffix":""},{"dropping-particle":"","family":"Bednarz","given":"Greg","non-dropping-particle":"","parse-names":false,"suffix":""},{"dropping-particle":"","family":"Flickinger","given":"John","non-dropping-particle":"","parse-names":false,"suffix":""},{"dropping-particle":"","family":"Arai","given":"Yoshio","non-dropping-particle":"","parse-names":false,"suffix":""},{"dropping-particle":"","family":"Vacsulka","given":"Jonet","non-dropping-particle":"","parse-names":false,"suffix":""},{"dropping-particle":"","family":"Feng","given":"Wenzheng","non-dropping-particle":"","parse-names":false,"suffix":""},{"dropping-particle":"","family":"Monaco","given":"Edward","non-dropping-particle":"","parse-names":false,"suffix":""},{"dropping-particle":"","family":"Niranjan","given":"Ajay","non-dropping-particle":"","parse-names":false,"suffix":""},{"dropping-particle":"","family":"Lunsford","given":"L. Dade","non-dropping-particle":"","parse-names":false,"suffix":""},{"dropping-particle":"","family":"Huq","given":"M. Saiful","non-dropping-particle":"","parse-names":false,"suffix":""}],"container-title":"J Appl Clin Med Phys","id":"ITEM-1","issue":"6","issued":{"date-parts":[["2017"]]},"page":"152-168","title":"Failure modes and effects analysis (FMEA) for Gamma Knife radiosurgery","type":"article-journal","volume":"18"},"uris":["http://www.mendeley.com/documents/?uuid=ee83d613-a2bf-4cfb-a0b8-31320b806a78"]},{"id":"ITEM-2","itemData":{"DOI":"10.1111/1754-9485.12762","ISSN":"17549485","PMID":"30052319","abstract":"Introduction: The international move towards digital healthcare record keeping has seen an increase in the number of radiotherapy departments moving towards a paperless framework. With the recent transition to a paperless radiation oncology framework at the Princess Alexandra Hospital Brisbane, it was crucial to perform a prospective risk assessment to quantify the most significant sources of risk in the electronic environment. Methods: A failure mode and effects analysis (FMEA) was performed using a web-based three-round Delphi technique. Participants included Radiation Therapists and Radiation Oncologists. A detailed process map was created of all process steps and their sub-processes from patient booking to treatment. The first round was an open qualitative round to identify failure modes. The subsequent rounds were used to score all failure modes using the risk priority number (RPN) scoring method, based on the product of occurrence, severity and detectability scoring. The final round was also used to identify risk mitigation strategies. Results: The process map consisted of 60 process steps and 141 sub-processes. A list of 83 failure modes was identified and consensus was achieved regarding the risk scoring for a prioritised list of 20. Four of the top five failure modes were related to communication errors. Eighteen feasible solutions were recommended for incorporating into clinical practice to increase patient safety. Conclusion: The FMEA proved a valuable systematic method of prospectively identifying vulnerabilities in a paperless radiotherapy department. In particular, this FMEA identified numerous failure modes concerning communication and documentation, highlighting the need for sustained vigilance when performing all electronic processes.","author":[{"dropping-particle":"","family":"Frewen","given":"Helen","non-dropping-particle":"","parse-names":false,"suffix":""},{"dropping-particle":"","family":"Brown","given":"Elizabeth","non-dropping-particle":"","parse-names":false,"suffix":""},{"dropping-particle":"","family":"Jenkins","given":"Michael","non-dropping-particle":"","parse-names":false,"suffix":""},{"dropping-particle":"","family":"O'Donovan","given":"Anita","non-dropping-particle":"","parse-names":false,"suffix":""}],"container-title":"J Med Imaging Radiat Oncol","id":"ITEM-2","issue":"5","issued":{"date-parts":[["2018"]]},"page":"707-715","title":"Failure mode and effects analysis in a paperless radiotherapy department","type":"article-journal","volume":"62"},"uris":["http://www.mendeley.com/documents/?uuid=ec559849-f21e-422b-a1b0-bbec0d42ac9e"]}],"mendeley":{"formattedCitation":"&lt;sup&gt;2,3&lt;/sup&gt;","plainTextFormattedCitation":"2,3","previouslyFormattedCitation":"&lt;sup&gt;2,3&lt;/sup&gt;"},"properties":{"noteIndex":0},"schema":"https://github.com/citation-style-language/schema/raw/master/csl-citation.json"}</w:instrText>
      </w:r>
      <w:r w:rsidR="00B73995" w:rsidRPr="002B5129">
        <w:rPr>
          <w:rFonts w:ascii="Calibri" w:hAnsi="Calibri" w:cs="Calibri"/>
          <w:color w:val="000000"/>
          <w:sz w:val="24"/>
          <w:szCs w:val="24"/>
          <w:lang w:val="en-US"/>
        </w:rPr>
        <w:fldChar w:fldCharType="separate"/>
      </w:r>
      <w:r w:rsidR="007E2A1A" w:rsidRPr="002B5129">
        <w:rPr>
          <w:rFonts w:ascii="Calibri" w:hAnsi="Calibri" w:cs="Calibri"/>
          <w:noProof/>
          <w:color w:val="000000"/>
          <w:sz w:val="24"/>
          <w:szCs w:val="24"/>
          <w:vertAlign w:val="superscript"/>
          <w:lang w:val="en-US"/>
        </w:rPr>
        <w:t>2,3</w:t>
      </w:r>
      <w:r w:rsidR="00B73995" w:rsidRPr="002B5129">
        <w:rPr>
          <w:rFonts w:ascii="Calibri" w:hAnsi="Calibri" w:cs="Calibri"/>
          <w:color w:val="000000"/>
          <w:sz w:val="24"/>
          <w:szCs w:val="24"/>
          <w:lang w:val="en-US"/>
        </w:rPr>
        <w:fldChar w:fldCharType="end"/>
      </w:r>
      <w:r w:rsidR="00783060" w:rsidRPr="002B5129">
        <w:rPr>
          <w:rFonts w:ascii="Calibri" w:hAnsi="Calibri" w:cs="Calibri"/>
          <w:color w:val="000000"/>
          <w:sz w:val="24"/>
          <w:szCs w:val="24"/>
          <w:lang w:val="en-US"/>
        </w:rPr>
        <w:t xml:space="preserve"> </w:t>
      </w:r>
      <w:r w:rsidR="007E2A1A" w:rsidRPr="002B5129">
        <w:rPr>
          <w:rFonts w:ascii="Calibri" w:hAnsi="Calibri" w:cs="Calibri"/>
          <w:color w:val="000000"/>
          <w:sz w:val="24"/>
          <w:szCs w:val="24"/>
          <w:lang w:val="en-US"/>
        </w:rPr>
        <w:t>A</w:t>
      </w:r>
      <w:r w:rsidR="00783060" w:rsidRPr="002B5129">
        <w:rPr>
          <w:rFonts w:ascii="Calibri" w:hAnsi="Calibri" w:cs="Calibri"/>
          <w:color w:val="000000"/>
          <w:sz w:val="24"/>
          <w:szCs w:val="24"/>
          <w:lang w:val="en-US"/>
        </w:rPr>
        <w:t xml:space="preserve"> multidisciplinary expert committee comprised of experts in the field with diverse expertise in this process.</w:t>
      </w:r>
      <w:r w:rsidR="00B73995" w:rsidRPr="002B5129">
        <w:rPr>
          <w:rFonts w:ascii="Calibri" w:hAnsi="Calibri" w:cs="Calibri"/>
          <w:color w:val="000000"/>
          <w:sz w:val="24"/>
          <w:szCs w:val="24"/>
          <w:lang w:val="en-US"/>
        </w:rPr>
        <w:fldChar w:fldCharType="begin" w:fldLock="1"/>
      </w:r>
      <w:r w:rsidR="007E2A1A" w:rsidRPr="002B5129">
        <w:rPr>
          <w:rFonts w:ascii="Calibri" w:hAnsi="Calibri" w:cs="Calibri"/>
          <w:color w:val="000000"/>
          <w:sz w:val="24"/>
          <w:szCs w:val="24"/>
          <w:lang w:val="en-US"/>
        </w:rPr>
        <w:instrText>ADDIN CSL_CITATION {"citationItems":[{"id":"ITEM-1","itemData":{"DOI":"10.1002/eng2.12113","ISSN":"2577-8196","abstract":"Abstract The complexity of patient-specific implants combined with the current limited expertise in reliability engineering and manufacturability in the additive manufacturing (AM) sector is posing a number of quality performance challenges. Worldwide medical device regulatory bodies are facing increasing pressure to devise adequate standards to ensure long-term patient safety and product performance. The implementation of the Quality by Design (QbD) system to titanium 3D-printed bone implants offers a proven system to ensure that products are designed and manufactured correctly from the beginning without errors. This article reports on the development of a failure mode, effects, and criticality analysis (FMECA) coupled with a 3D risk assessment approach. This integrated approach is based on a questionnaire performed with three industry firms and three university research groups with significant experience and expertise in medical device product development and/or research in this field. Research outcomes include a FMECA form containing 137 failure modes with AM materials, AM machine general, fabrication, electron beam melting machine, finishing, and design being as the most sensitive process areas in terms of product quality. We subsequently propose corresponding preventive and corrective strategies for risk mitigation. The approach forms part of the QbD system being developed by the authors specifically for additive manufactured titanium patient-specific implants.","author":[{"dropping-particle":"","family":"Martinez‐Marquez","given":"Daniel","non-dropping-particle":"","parse-names":false,"suffix":""},{"dropping-particle":"","family":"Terhaer","given":"Klemens","non-dropping-particle":"","parse-names":false,"suffix":""},{"dropping-particle":"","family":"Scheinemann","given":"Peter","non-dropping-particle":"","parse-names":false,"suffix":""},{"dropping-particle":"","family":"Mirnajafizadeh","given":"Ali","non-dropping-particle":"","parse-names":false,"suffix":""},{"dropping-particle":"","family":"Carty","given":"Christopher P.","non-dropping-particle":"","parse-names":false,"suffix":""},{"dropping-particle":"","family":"Stewart","given":"Rodney A.","non-dropping-particle":"","parse-names":false,"suffix":""}],"container-title":"Eng Reports","id":"ITEM-1","issued":{"date-parts":[["2020"]]},"page":"1-24","title":"Quality by Design for industry translation: Three‐dimensional risk assessment failure mode, effects, and criticality analysis for additively manufactured patient‐specific implants","type":"article-journal","volume":"2"},"uris":["http://www.mendeley.com/documents/?uuid=9ec0cbb0-e2cb-4a0c-989c-4bbf54c39430"]},{"id":"ITEM-2","itemData":{"DOI":"10.1186/s12912-021-00661-9","ISSN":"14726955","abstract":"The modified Delphi technique is widely used to develop consensus on group opinion within health services research. However, digital platforms are offering researchers the capacity to undertake a real-time Delphi, which provides novel opportunities to enhance the process. The aim of this case study is to discuss and reflect on the use of a real-time Delphi method for researchers in emergency nursing and cognate areas of practice. A real-time Delphi method was used to develop a national survey examining knowledge, perceptions and factors influencing pain assessment and management practices among Australian emergency nurses. While designing and completing this real-time Delphi study, a number of areas, emerged that demanded careful consideration and provide guidance to future researchers.","author":[{"dropping-particle":"","family":"Varndell","given":"Wayne","non-dropping-particle":"","parse-names":false,"suffix":""},{"dropping-particle":"","family":"Fry","given":"Margaret","non-dropping-particle":"","parse-names":false,"suffix":""},{"dropping-particle":"","family":"Elliott","given":"Doug","non-dropping-particle":"","parse-names":false,"suffix":""}],"container-title":"BMC Nurs","id":"ITEM-2","issued":{"date-parts":[["2021"]]},"page":"149","publisher":"BMC Nursing","title":"Applying real-time Delphi methods: development of a pain management survey in emergency nursing","type":"article-journal","volume":"20"},"uris":["http://www.mendeley.com/documents/?uuid=8f5410dc-11b4-4687-8d46-32abd23786db"]}],"mendeley":{"formattedCitation":"&lt;sup&gt;4,5&lt;/sup&gt;","plainTextFormattedCitation":"4,5","previouslyFormattedCitation":"&lt;sup&gt;4,5&lt;/sup&gt;"},"properties":{"noteIndex":0},"schema":"https://github.com/citation-style-language/schema/raw/master/csl-citation.json"}</w:instrText>
      </w:r>
      <w:r w:rsidR="00B73995" w:rsidRPr="002B5129">
        <w:rPr>
          <w:rFonts w:ascii="Calibri" w:hAnsi="Calibri" w:cs="Calibri"/>
          <w:color w:val="000000"/>
          <w:sz w:val="24"/>
          <w:szCs w:val="24"/>
          <w:lang w:val="en-US"/>
        </w:rPr>
        <w:fldChar w:fldCharType="separate"/>
      </w:r>
      <w:r w:rsidR="007E2A1A" w:rsidRPr="002B5129">
        <w:rPr>
          <w:rFonts w:ascii="Calibri" w:hAnsi="Calibri" w:cs="Calibri"/>
          <w:noProof/>
          <w:color w:val="000000"/>
          <w:sz w:val="24"/>
          <w:szCs w:val="24"/>
          <w:vertAlign w:val="superscript"/>
          <w:lang w:val="en-US"/>
        </w:rPr>
        <w:t>4,5</w:t>
      </w:r>
      <w:r w:rsidR="00B73995" w:rsidRPr="002B5129">
        <w:rPr>
          <w:rFonts w:ascii="Calibri" w:hAnsi="Calibri" w:cs="Calibri"/>
          <w:color w:val="000000"/>
          <w:sz w:val="24"/>
          <w:szCs w:val="24"/>
          <w:lang w:val="en-US"/>
        </w:rPr>
        <w:fldChar w:fldCharType="end"/>
      </w:r>
      <w:r w:rsidR="00783060" w:rsidRPr="002B5129">
        <w:rPr>
          <w:rFonts w:ascii="Calibri" w:hAnsi="Calibri" w:cs="Calibri"/>
          <w:color w:val="000000"/>
          <w:sz w:val="24"/>
          <w:szCs w:val="24"/>
          <w:lang w:val="en-US"/>
        </w:rPr>
        <w:t xml:space="preserve"> </w:t>
      </w:r>
      <w:r w:rsidR="00801809" w:rsidRPr="002B5129">
        <w:rPr>
          <w:rFonts w:ascii="Calibri" w:hAnsi="Calibri" w:cs="Calibri"/>
          <w:color w:val="000000"/>
          <w:sz w:val="24"/>
          <w:szCs w:val="24"/>
          <w:lang w:val="en"/>
        </w:rPr>
        <w:t>FMEA requires a sequence of team meetings as well as the seek for consensus among members</w:t>
      </w:r>
      <w:r w:rsidR="005420AD" w:rsidRPr="002B5129">
        <w:rPr>
          <w:rFonts w:ascii="Calibri" w:hAnsi="Calibri" w:cs="Calibri"/>
          <w:bCs/>
          <w:sz w:val="24"/>
          <w:szCs w:val="24"/>
          <w:lang w:val="en-US"/>
        </w:rPr>
        <w:t>.</w:t>
      </w:r>
      <w:r w:rsidR="00801809" w:rsidRPr="002B5129">
        <w:rPr>
          <w:rFonts w:ascii="Calibri" w:hAnsi="Calibri" w:cs="Calibri"/>
          <w:bCs/>
          <w:sz w:val="24"/>
          <w:szCs w:val="24"/>
        </w:rPr>
        <w:fldChar w:fldCharType="begin" w:fldLock="1"/>
      </w:r>
      <w:r w:rsidR="007E2A1A" w:rsidRPr="002B5129">
        <w:rPr>
          <w:rFonts w:ascii="Calibri" w:hAnsi="Calibri" w:cs="Calibri"/>
          <w:bCs/>
          <w:sz w:val="24"/>
          <w:szCs w:val="24"/>
          <w:lang w:val="en-US"/>
        </w:rPr>
        <w:instrText xml:space="preserve">ADDIN CSL_CITATION {"citationItems":[{"id":"ITEM-1","itemData":{"DOI":"10.1111/jep.13317","ISSN":"13652753","PMID":"31849153","abstract":"Rationale, aims, and objectives: Failure mode and effects analysis (FMEA) is a valuable reliability management tool that can preemptively identify the potential failures of a system and assess their causes and effects, thereby preventing them from occurring. The use of FMEA in the healthcare setting has become increasingly popular over the last decade, being applied to a multitude of different areas. The objective of this study is to review comprehensively the literature regarding the application of FMEA for healthcare risk analysis. Methods: An extensive search was carried out in the scholarly databases of Scopus and PubMed, and we only chose the academic articles which used the FMEA technique to solve healthcare risk analysis problems. Furthermore, a bibliometric analysis was performed based on the number of citations, publication year, appeared journals, authors, and country of origin. Results: A total of 158 journal papers published over the period of 1998 to 2018 were extracted and reviewed. These publications were classified into four categories (ie, healthcare process, hospital management, hospital informatization, and medical equipment and production) according to the healthcare issues to be solved, and analyzed regarding the application </w:instrText>
      </w:r>
      <w:r w:rsidR="007E2A1A" w:rsidRPr="002B5129">
        <w:rPr>
          <w:rFonts w:ascii="Calibri" w:hAnsi="Calibri" w:cs="Calibri"/>
          <w:bCs/>
          <w:sz w:val="24"/>
          <w:szCs w:val="24"/>
        </w:rPr>
        <w:instrText>fields and the utilized FMEA methods. Conclusion: FMEA has high practicality for healthcare quality improvement and error reduction and has been prevalently employed to improve healthcare processes in hospitals. This research supports academics and practitioners in effectively adopting the FMEA tool to proactively reduce healthcare risks and increase patient safety, and provides an insight into its state-of-the-art.","author":[{"dropping-particle":"","family":"Liu","given":"Hu Chen","non-dropping-particle":"","parse-names":false,"suffix":""},{"dropping-particle":"","family":"Zhang","given":"Li Jun","non-dropping-particle":"","parse-names":false,"suffix":""},{"dropping-particle":"","family":"Ping","given":"Ye Jia","non-dropping-particle":"","parse-names":false,"suffix":""},{"dropping-particle":"","family":"Wang","given":"Liang","non-dropping-particle":"","parse-names":false,"suffix":""}],"container-title":"Journal of Evaluation in Clinical Practice","id":"ITEM-1","issue":"4","issued":{"date-parts":[["2020"]]},"page":"1320-1337","title":"Failure mode and effects analysis for proactive healthcare risk evaluation: A systematic literature review","type":"article-journal","volume":"26"},"uris":["http://www.mendeley.com/documents/?uuid=a8ef37fd-00b3-4b80-9840-a68fff972855"]},{"id":"ITEM-2","itemData":{"DOI":"10.1007/s00170-020-06425-0","ISSN":"14333015","abstract":"In order to enable failure mode and effects analysis (FMEA) to play a better quality control role in complex manufacturing products or systems, the current research status of FMEA is reviewed from failure mode identification, risk assessment, and industrial standard application. Firstly, the research status of system failure identification is summarized from the following aspects: the breakthrough point of identification, the types of identification methods, and the normalized description of failure modes. Then, sor</w:instrText>
      </w:r>
      <w:r w:rsidR="007E2A1A" w:rsidRPr="002B5129">
        <w:rPr>
          <w:rFonts w:ascii="Calibri" w:hAnsi="Calibri" w:cs="Calibri"/>
          <w:bCs/>
          <w:sz w:val="24"/>
          <w:szCs w:val="24"/>
          <w:lang w:val="en-US"/>
        </w:rPr>
        <w:instrText>t out the research status of risk assessment from five aspects: risk factor evaluation criteria, risk assessment opinion expression, expert opinion consensus, risk opinion assessment aggregation, and sensitivity analysis, and find out research hotspots and blind spots; finally, the changes of FMEA standards in various fields are summarized and compared, and the future development trend of FMEA in the context of intelligent manufacturing is discussed.","author":[{"dropping-particle":"","family":"Wu","given":"Zhongyi","non-dropping-particle":"","parse-names":false,"suffix":""},{"dropping-particle":"","family":"Liu","given":"Weidong","non-dropping-particle":"","parse-names":false,"suffix":""},{"dropping-particle":"","family":"Nie","given":"Wenbin","non-dropping-particle":"","parse-names":false,"suffix":""}],"container-title":"Int J Adv Manuf Technol","id":"ITEM-2","issued":{"date-parts":[["2021"]]},"page":"1409-1436","publisher":"The International Journal of Advanced Manufacturing Technology","title":"Literature review and prospect of the development and application of FMEA in manufacturing industry","type":"article-journal","volume":"112"},"uris":["http://www.mendeley.com/documents/?uuid=901fc282-170a-4064-b3f9-9a3eb4cb63cc"]}],"mendeley":{"formattedCitation":"&lt;sup&gt;1,6&lt;/sup&gt;","plainTextFormattedCitation":"1,6","previouslyFormattedCitation":"&lt;sup&gt;1,6,7&lt;/sup&gt;"},"properties":{"noteIndex":0},"schema":"https://github.com/citation-style-language/schema/raw/master/csl-citation.json"}</w:instrText>
      </w:r>
      <w:r w:rsidR="00801809" w:rsidRPr="002B5129">
        <w:rPr>
          <w:rFonts w:ascii="Calibri" w:hAnsi="Calibri" w:cs="Calibri"/>
          <w:bCs/>
          <w:sz w:val="24"/>
          <w:szCs w:val="24"/>
        </w:rPr>
        <w:fldChar w:fldCharType="separate"/>
      </w:r>
      <w:r w:rsidR="007E2A1A" w:rsidRPr="002B5129">
        <w:rPr>
          <w:rFonts w:ascii="Calibri" w:hAnsi="Calibri" w:cs="Calibri"/>
          <w:bCs/>
          <w:noProof/>
          <w:sz w:val="24"/>
          <w:szCs w:val="24"/>
          <w:vertAlign w:val="superscript"/>
          <w:lang w:val="en-US"/>
        </w:rPr>
        <w:t>1,6</w:t>
      </w:r>
      <w:r w:rsidR="00801809" w:rsidRPr="002B5129">
        <w:rPr>
          <w:rFonts w:ascii="Calibri" w:hAnsi="Calibri" w:cs="Calibri"/>
          <w:bCs/>
          <w:sz w:val="24"/>
          <w:szCs w:val="24"/>
        </w:rPr>
        <w:fldChar w:fldCharType="end"/>
      </w:r>
      <w:r w:rsidR="005420AD" w:rsidRPr="002B5129">
        <w:rPr>
          <w:rFonts w:ascii="Calibri" w:hAnsi="Calibri" w:cs="Calibri"/>
          <w:bCs/>
          <w:sz w:val="24"/>
          <w:szCs w:val="24"/>
          <w:lang w:val="en-US"/>
        </w:rPr>
        <w:t xml:space="preserve"> </w:t>
      </w:r>
      <w:r w:rsidR="00801809" w:rsidRPr="002B5129">
        <w:rPr>
          <w:rFonts w:ascii="Calibri" w:hAnsi="Calibri" w:cs="Calibri"/>
          <w:color w:val="000000"/>
          <w:sz w:val="24"/>
          <w:szCs w:val="24"/>
          <w:lang w:val="en"/>
        </w:rPr>
        <w:t>Meetings with a large number of participants might bring aspects of group bias.</w:t>
      </w:r>
      <w:r w:rsidR="00801809" w:rsidRPr="002B5129">
        <w:rPr>
          <w:rFonts w:ascii="Calibri" w:hAnsi="Calibri" w:cs="Calibri"/>
          <w:bCs/>
          <w:sz w:val="24"/>
          <w:szCs w:val="24"/>
          <w:lang w:val="en-US"/>
        </w:rPr>
        <w:fldChar w:fldCharType="begin" w:fldLock="1"/>
      </w:r>
      <w:r w:rsidR="007E2A1A" w:rsidRPr="002B5129">
        <w:rPr>
          <w:rFonts w:ascii="Calibri" w:hAnsi="Calibri" w:cs="Calibri"/>
          <w:bCs/>
          <w:sz w:val="24"/>
          <w:szCs w:val="24"/>
          <w:lang w:val="en-US"/>
        </w:rPr>
        <w:instrText>ADDIN CSL_CITATION {"citationItems":[{"id":"ITEM-1","itemData":{"DOI":"10.1002/qre.1633","ISSN":"10991638","abstract":"Failure mode and effect analysis (FMEA) is a powerful tool for defining, identifying, and eliminating potential failures from the system, design, process, or service before they reach the customer. Since its appearance, FMEA has been extensively used in a wide range of industries. However, the conventional risk priority number (RPN) method has been criticized for having a number of drawbacks. In addition, FMEA is a group decision behavior and generally performed by a cross-functional team. Multiple experts tend to express their judgments on the failure modes by using multigranularity linguistic term sets, and there usually exists uncertain and incomplete assessment information. In this paper, we present a novel FMEA approach combining interval 2-tuple linguistic variables with gray relational analysis to capture FMEA team members' diversity opinions and improve the effectiveness of the traditional FMEA. An empirical example of a C-arm X-ray machine is given to illustrate the potential applications and benefits of the proposed approach.","author":[{"dropping-particle":"","family":"Liu","given":"Hu Chen","non-dropping-particle":"","parse-names":false,"suffix":""},{"dropping-particle":"","family":"Li","given":"Ping","non-dropping-particle":"","parse-names":false,"suffix":""},{"dropping-particle":"","family":"You","given":"Jian Xin","non-dropping-particle":"","parse-names":false,"suffix":""},{"dropping-particle":"","family":"Chen","given":"Yi Zeng","non-dropping-particle":"","parse-names":false,"suffix":""}],"container-title":"Qual Reliab Eng Int","id":"ITEM-1","issue":"5","issued":{"date-parts":[["2015"]]},"page":"761-772","title":"A novel approach for FMEA: Combination of interval 2-tuple linguistic variables and gray relational analysis","type":"article-journal","volume":"31"},"uris":["http://www.mendeley.com/documents/?uuid=bb6a53aa-ab70-4d73-b478-38a91ffd5c66"]}],"mendeley":{"formattedCitation":"&lt;sup&gt;7&lt;/sup&gt;","plainTextFormattedCitation":"7","previouslyFormattedCitation":"&lt;sup&gt;8&lt;/sup&gt;"},"properties":{"noteIndex":0},"schema":"https://github.com/citation-style-language/schema/raw/master/csl-citation.json"}</w:instrText>
      </w:r>
      <w:r w:rsidR="00801809" w:rsidRPr="002B5129">
        <w:rPr>
          <w:rFonts w:ascii="Calibri" w:hAnsi="Calibri" w:cs="Calibri"/>
          <w:bCs/>
          <w:sz w:val="24"/>
          <w:szCs w:val="24"/>
          <w:lang w:val="en-US"/>
        </w:rPr>
        <w:fldChar w:fldCharType="separate"/>
      </w:r>
      <w:r w:rsidR="007E2A1A" w:rsidRPr="002B5129">
        <w:rPr>
          <w:rFonts w:ascii="Calibri" w:hAnsi="Calibri" w:cs="Calibri"/>
          <w:bCs/>
          <w:noProof/>
          <w:sz w:val="24"/>
          <w:szCs w:val="24"/>
          <w:vertAlign w:val="superscript"/>
          <w:lang w:val="en-US"/>
        </w:rPr>
        <w:t>7</w:t>
      </w:r>
      <w:r w:rsidR="00801809" w:rsidRPr="002B5129">
        <w:rPr>
          <w:rFonts w:ascii="Calibri" w:hAnsi="Calibri" w:cs="Calibri"/>
          <w:bCs/>
          <w:sz w:val="24"/>
          <w:szCs w:val="24"/>
          <w:lang w:val="en-US"/>
        </w:rPr>
        <w:fldChar w:fldCharType="end"/>
      </w:r>
    </w:p>
    <w:p w14:paraId="2ADBCB4D" w14:textId="77777777" w:rsidR="00452B58" w:rsidRPr="002B5129" w:rsidRDefault="00452B58" w:rsidP="00384101">
      <w:pPr>
        <w:spacing w:after="0" w:line="360" w:lineRule="auto"/>
        <w:jc w:val="both"/>
        <w:rPr>
          <w:rFonts w:ascii="Calibri" w:hAnsi="Calibri" w:cs="Calibri"/>
          <w:color w:val="000000"/>
          <w:sz w:val="24"/>
          <w:szCs w:val="24"/>
          <w:lang w:val="en"/>
        </w:rPr>
      </w:pPr>
    </w:p>
    <w:p w14:paraId="50DD9C19" w14:textId="7AA815CF" w:rsidR="007F5FAB" w:rsidRPr="002B5129" w:rsidRDefault="007F5FAB" w:rsidP="0017253E">
      <w:pPr>
        <w:spacing w:after="0" w:line="360" w:lineRule="auto"/>
        <w:rPr>
          <w:rFonts w:ascii="Calibri" w:hAnsi="Calibri" w:cs="Calibri"/>
          <w:b/>
          <w:bCs/>
          <w:color w:val="000000"/>
          <w:sz w:val="24"/>
          <w:szCs w:val="24"/>
          <w:lang w:val="en-US"/>
        </w:rPr>
      </w:pPr>
      <w:r w:rsidRPr="002B5129">
        <w:rPr>
          <w:rFonts w:ascii="Calibri" w:hAnsi="Calibri" w:cs="Calibri"/>
          <w:b/>
          <w:bCs/>
          <w:color w:val="000000"/>
          <w:sz w:val="24"/>
          <w:szCs w:val="24"/>
          <w:lang w:val="en-US"/>
        </w:rPr>
        <w:t>About Institution:</w:t>
      </w:r>
    </w:p>
    <w:p w14:paraId="695C4DBA" w14:textId="46D7ED08" w:rsidR="0017253E" w:rsidRPr="002B5129" w:rsidRDefault="00B16A8F" w:rsidP="00ED6B1A">
      <w:pPr>
        <w:spacing w:after="0" w:line="360" w:lineRule="auto"/>
        <w:jc w:val="both"/>
        <w:rPr>
          <w:rFonts w:ascii="Calibri" w:hAnsi="Calibri" w:cs="Calibri"/>
          <w:sz w:val="24"/>
          <w:szCs w:val="24"/>
          <w:lang w:val="en-US"/>
        </w:rPr>
      </w:pPr>
      <w:r>
        <w:rPr>
          <w:rFonts w:ascii="Calibri" w:hAnsi="Calibri" w:cs="Calibri"/>
          <w:sz w:val="24"/>
          <w:szCs w:val="24"/>
          <w:lang w:val="en-US"/>
        </w:rPr>
        <w:t>Department</w:t>
      </w:r>
      <w:r w:rsidRPr="0051484B">
        <w:rPr>
          <w:rFonts w:ascii="Calibri" w:hAnsi="Calibri" w:cs="Calibri"/>
          <w:sz w:val="24"/>
          <w:szCs w:val="24"/>
          <w:lang w:val="en-US"/>
        </w:rPr>
        <w:t xml:space="preserve"> of Biomedical </w:t>
      </w:r>
      <w:r>
        <w:rPr>
          <w:rFonts w:ascii="Calibri" w:hAnsi="Calibri" w:cs="Calibri"/>
          <w:sz w:val="24"/>
          <w:szCs w:val="24"/>
          <w:lang w:val="en-US"/>
        </w:rPr>
        <w:t xml:space="preserve">Sciences and </w:t>
      </w:r>
      <w:r w:rsidR="00BD5E90" w:rsidRPr="002B5129">
        <w:rPr>
          <w:rFonts w:ascii="Calibri" w:hAnsi="Calibri" w:cs="Calibri"/>
          <w:sz w:val="24"/>
          <w:szCs w:val="24"/>
          <w:lang w:val="en-US"/>
        </w:rPr>
        <w:t>Biomedical Engineering</w:t>
      </w:r>
      <w:r w:rsidR="007E2A1A" w:rsidRPr="002B5129">
        <w:rPr>
          <w:rFonts w:ascii="Calibri" w:hAnsi="Calibri" w:cs="Calibri"/>
          <w:sz w:val="24"/>
          <w:szCs w:val="24"/>
          <w:lang w:val="en-US"/>
        </w:rPr>
        <w:t xml:space="preserve">, </w:t>
      </w:r>
      <w:r>
        <w:rPr>
          <w:rFonts w:ascii="Calibri" w:hAnsi="Calibri" w:cs="Calibri"/>
          <w:sz w:val="24"/>
          <w:szCs w:val="24"/>
          <w:lang w:val="en-US"/>
        </w:rPr>
        <w:t>F</w:t>
      </w:r>
      <w:r w:rsidR="0017253E" w:rsidRPr="002B5129">
        <w:rPr>
          <w:rFonts w:ascii="Calibri" w:hAnsi="Calibri" w:cs="Calibri"/>
          <w:sz w:val="24"/>
          <w:szCs w:val="24"/>
          <w:lang w:val="en-US"/>
        </w:rPr>
        <w:t xml:space="preserve">aculty of Medicine, </w:t>
      </w:r>
      <w:r>
        <w:rPr>
          <w:rFonts w:ascii="Calibri" w:hAnsi="Calibri" w:cs="Calibri"/>
          <w:sz w:val="24"/>
          <w:szCs w:val="24"/>
          <w:lang w:val="en-US"/>
        </w:rPr>
        <w:t xml:space="preserve">Prince of </w:t>
      </w:r>
      <w:r w:rsidR="0017253E" w:rsidRPr="002B5129">
        <w:rPr>
          <w:rFonts w:ascii="Calibri" w:hAnsi="Calibri" w:cs="Calibri"/>
          <w:sz w:val="24"/>
          <w:szCs w:val="24"/>
          <w:lang w:val="en-US"/>
        </w:rPr>
        <w:t>Son</w:t>
      </w:r>
      <w:r w:rsidR="001D06FC">
        <w:rPr>
          <w:rFonts w:ascii="Calibri" w:hAnsi="Calibri" w:cs="Calibri"/>
          <w:sz w:val="24"/>
          <w:szCs w:val="24"/>
          <w:lang w:val="en-US"/>
        </w:rPr>
        <w:t>g</w:t>
      </w:r>
      <w:r w:rsidR="0017253E" w:rsidRPr="002B5129">
        <w:rPr>
          <w:rFonts w:ascii="Calibri" w:hAnsi="Calibri" w:cs="Calibri"/>
          <w:sz w:val="24"/>
          <w:szCs w:val="24"/>
          <w:lang w:val="en-US"/>
        </w:rPr>
        <w:t xml:space="preserve">kla University, </w:t>
      </w:r>
      <w:proofErr w:type="gramStart"/>
      <w:r>
        <w:rPr>
          <w:rFonts w:ascii="Calibri" w:hAnsi="Calibri" w:cs="Calibri"/>
          <w:sz w:val="24"/>
          <w:szCs w:val="24"/>
          <w:lang w:val="en-US"/>
        </w:rPr>
        <w:t>is located in</w:t>
      </w:r>
      <w:proofErr w:type="gramEnd"/>
      <w:r>
        <w:rPr>
          <w:rFonts w:ascii="Calibri" w:hAnsi="Calibri" w:cs="Calibri"/>
          <w:sz w:val="24"/>
          <w:szCs w:val="24"/>
          <w:lang w:val="en-US"/>
        </w:rPr>
        <w:t xml:space="preserve"> the south of </w:t>
      </w:r>
      <w:r w:rsidR="0017253E" w:rsidRPr="002B5129">
        <w:rPr>
          <w:rFonts w:ascii="Calibri" w:hAnsi="Calibri" w:cs="Calibri"/>
          <w:sz w:val="24"/>
          <w:szCs w:val="24"/>
          <w:lang w:val="en-US"/>
        </w:rPr>
        <w:t>Thailand.</w:t>
      </w:r>
      <w:r>
        <w:rPr>
          <w:rFonts w:ascii="Calibri" w:hAnsi="Calibri" w:cs="Calibri"/>
          <w:sz w:val="24"/>
          <w:szCs w:val="24"/>
          <w:lang w:val="en-US"/>
        </w:rPr>
        <w:t xml:space="preserve"> There are 2 units in the department: Biomedical Sciences and Biomedical Engineering. The research in the department covers cancer biology, infectious diseases, biomaterials, biosensors, medical data analytics, </w:t>
      </w:r>
      <w:r w:rsidR="001D06FC">
        <w:rPr>
          <w:rFonts w:ascii="Calibri" w:hAnsi="Calibri" w:cs="Calibri"/>
          <w:sz w:val="24"/>
          <w:szCs w:val="24"/>
          <w:lang w:val="en-US"/>
        </w:rPr>
        <w:t>biomechanics,</w:t>
      </w:r>
      <w:r>
        <w:rPr>
          <w:rFonts w:ascii="Calibri" w:hAnsi="Calibri" w:cs="Calibri"/>
          <w:sz w:val="24"/>
          <w:szCs w:val="24"/>
          <w:lang w:val="en-US"/>
        </w:rPr>
        <w:t xml:space="preserve"> and medical devices. There are 18 full time research faculty and around 60 graduate students in the </w:t>
      </w:r>
      <w:r w:rsidR="001D06FC">
        <w:rPr>
          <w:rFonts w:ascii="Calibri" w:hAnsi="Calibri" w:cs="Calibri"/>
          <w:sz w:val="24"/>
          <w:szCs w:val="24"/>
          <w:lang w:val="en-US"/>
        </w:rPr>
        <w:t>department</w:t>
      </w:r>
      <w:r>
        <w:rPr>
          <w:rFonts w:ascii="Calibri" w:hAnsi="Calibri" w:cs="Calibri"/>
          <w:sz w:val="24"/>
          <w:szCs w:val="24"/>
          <w:lang w:val="en-US"/>
        </w:rPr>
        <w:t>.</w:t>
      </w:r>
    </w:p>
    <w:p w14:paraId="7208D8C9" w14:textId="77777777" w:rsidR="00452B58" w:rsidRPr="002B5129" w:rsidRDefault="00452B58" w:rsidP="00ED6B1A">
      <w:pPr>
        <w:spacing w:after="0" w:line="360" w:lineRule="auto"/>
        <w:jc w:val="both"/>
        <w:rPr>
          <w:rFonts w:ascii="Calibri" w:hAnsi="Calibri" w:cs="Calibri"/>
          <w:sz w:val="24"/>
          <w:szCs w:val="24"/>
          <w:lang w:val="en-US"/>
        </w:rPr>
      </w:pPr>
    </w:p>
    <w:p w14:paraId="17DE8F3C" w14:textId="4B5402C1" w:rsidR="007F5FAB" w:rsidRPr="002B5129" w:rsidRDefault="007F5FAB" w:rsidP="007E2A1A">
      <w:pPr>
        <w:tabs>
          <w:tab w:val="left" w:pos="284"/>
        </w:tabs>
        <w:spacing w:after="0" w:line="360" w:lineRule="auto"/>
        <w:rPr>
          <w:rFonts w:ascii="Calibri" w:hAnsi="Calibri" w:cs="Calibri"/>
          <w:b/>
          <w:bCs/>
          <w:sz w:val="24"/>
          <w:szCs w:val="24"/>
          <w:lang w:val="en-US"/>
        </w:rPr>
      </w:pPr>
      <w:r w:rsidRPr="002B5129">
        <w:rPr>
          <w:rFonts w:ascii="Calibri" w:hAnsi="Calibri" w:cs="Calibri"/>
          <w:b/>
          <w:bCs/>
          <w:sz w:val="24"/>
          <w:szCs w:val="24"/>
          <w:lang w:val="en-US"/>
        </w:rPr>
        <w:t>References:</w:t>
      </w:r>
    </w:p>
    <w:p w14:paraId="0CAAB5A5" w14:textId="498954CB" w:rsidR="007E2A1A" w:rsidRPr="002B5129" w:rsidRDefault="00801809" w:rsidP="007E2A1A">
      <w:pPr>
        <w:widowControl w:val="0"/>
        <w:tabs>
          <w:tab w:val="left" w:pos="426"/>
        </w:tabs>
        <w:autoSpaceDE w:val="0"/>
        <w:autoSpaceDN w:val="0"/>
        <w:adjustRightInd w:val="0"/>
        <w:spacing w:after="0" w:line="360" w:lineRule="auto"/>
        <w:ind w:firstLine="142"/>
        <w:rPr>
          <w:rFonts w:ascii="Calibri" w:hAnsi="Calibri" w:cs="Calibri"/>
          <w:noProof/>
          <w:sz w:val="24"/>
          <w:szCs w:val="24"/>
          <w:lang w:val="en-US"/>
        </w:rPr>
      </w:pPr>
      <w:r w:rsidRPr="002B5129">
        <w:rPr>
          <w:rFonts w:ascii="Calibri" w:hAnsi="Calibri" w:cs="Calibri"/>
          <w:b/>
          <w:bCs/>
          <w:sz w:val="24"/>
          <w:szCs w:val="24"/>
        </w:rPr>
        <w:fldChar w:fldCharType="begin" w:fldLock="1"/>
      </w:r>
      <w:r w:rsidRPr="002B5129">
        <w:rPr>
          <w:rFonts w:ascii="Calibri" w:hAnsi="Calibri" w:cs="Calibri"/>
          <w:b/>
          <w:bCs/>
          <w:sz w:val="24"/>
          <w:szCs w:val="24"/>
          <w:lang w:val="en-US"/>
        </w:rPr>
        <w:instrText xml:space="preserve">ADDIN Mendeley Bibliography CSL_BIBLIOGRAPHY </w:instrText>
      </w:r>
      <w:r w:rsidRPr="002B5129">
        <w:rPr>
          <w:rFonts w:ascii="Calibri" w:hAnsi="Calibri" w:cs="Calibri"/>
          <w:b/>
          <w:bCs/>
          <w:sz w:val="24"/>
          <w:szCs w:val="24"/>
        </w:rPr>
        <w:fldChar w:fldCharType="separate"/>
      </w:r>
      <w:r w:rsidR="007E2A1A" w:rsidRPr="002B5129">
        <w:rPr>
          <w:rFonts w:ascii="Calibri" w:hAnsi="Calibri" w:cs="Calibri"/>
          <w:noProof/>
          <w:sz w:val="24"/>
          <w:szCs w:val="24"/>
          <w:lang w:val="en-US"/>
        </w:rPr>
        <w:t xml:space="preserve">1. </w:t>
      </w:r>
      <w:r w:rsidR="007E2A1A" w:rsidRPr="002B5129">
        <w:rPr>
          <w:rFonts w:ascii="Calibri" w:hAnsi="Calibri" w:cs="Calibri"/>
          <w:noProof/>
          <w:sz w:val="24"/>
          <w:szCs w:val="24"/>
          <w:lang w:val="en-US"/>
        </w:rPr>
        <w:tab/>
        <w:t xml:space="preserve">Liu HC, Zhang LJ, Ping YJ, Wang L. Failure mode and effects analysis for proactive healthcare risk evaluation: A systematic literature review. </w:t>
      </w:r>
      <w:r w:rsidR="007E2A1A" w:rsidRPr="002B5129">
        <w:rPr>
          <w:rFonts w:ascii="Calibri" w:hAnsi="Calibri" w:cs="Calibri"/>
          <w:i/>
          <w:iCs/>
          <w:noProof/>
          <w:sz w:val="24"/>
          <w:szCs w:val="24"/>
          <w:lang w:val="en-US"/>
        </w:rPr>
        <w:t>J Eval Clin Pract</w:t>
      </w:r>
      <w:r w:rsidR="007E2A1A" w:rsidRPr="002B5129">
        <w:rPr>
          <w:rFonts w:ascii="Calibri" w:hAnsi="Calibri" w:cs="Calibri"/>
          <w:noProof/>
          <w:sz w:val="24"/>
          <w:szCs w:val="24"/>
          <w:lang w:val="en-US"/>
        </w:rPr>
        <w:t>. 2020;26(4):1320-1337. doi:10.1111/jep.13317</w:t>
      </w:r>
    </w:p>
    <w:p w14:paraId="0C07346A" w14:textId="77777777" w:rsidR="007E2A1A" w:rsidRPr="002B5129" w:rsidRDefault="007E2A1A" w:rsidP="007E2A1A">
      <w:pPr>
        <w:widowControl w:val="0"/>
        <w:tabs>
          <w:tab w:val="left" w:pos="426"/>
        </w:tabs>
        <w:autoSpaceDE w:val="0"/>
        <w:autoSpaceDN w:val="0"/>
        <w:adjustRightInd w:val="0"/>
        <w:spacing w:after="0" w:line="360" w:lineRule="auto"/>
        <w:ind w:firstLine="142"/>
        <w:rPr>
          <w:rFonts w:ascii="Calibri" w:hAnsi="Calibri" w:cs="Calibri"/>
          <w:noProof/>
          <w:sz w:val="24"/>
          <w:szCs w:val="24"/>
          <w:lang w:val="en-US"/>
        </w:rPr>
      </w:pPr>
      <w:r w:rsidRPr="002B5129">
        <w:rPr>
          <w:rFonts w:ascii="Calibri" w:hAnsi="Calibri" w:cs="Calibri"/>
          <w:noProof/>
          <w:sz w:val="24"/>
          <w:szCs w:val="24"/>
          <w:lang w:val="en-US"/>
        </w:rPr>
        <w:t xml:space="preserve">2. </w:t>
      </w:r>
      <w:r w:rsidRPr="002B5129">
        <w:rPr>
          <w:rFonts w:ascii="Calibri" w:hAnsi="Calibri" w:cs="Calibri"/>
          <w:noProof/>
          <w:sz w:val="24"/>
          <w:szCs w:val="24"/>
          <w:lang w:val="en-US"/>
        </w:rPr>
        <w:tab/>
        <w:t xml:space="preserve">Frewen H, Brown E, Jenkins M, O’Donovan A. Failure mode and effects analysis in a paperless radiotherapy department. </w:t>
      </w:r>
      <w:r w:rsidRPr="002B5129">
        <w:rPr>
          <w:rFonts w:ascii="Calibri" w:hAnsi="Calibri" w:cs="Calibri"/>
          <w:i/>
          <w:iCs/>
          <w:noProof/>
          <w:sz w:val="24"/>
          <w:szCs w:val="24"/>
          <w:lang w:val="en-US"/>
        </w:rPr>
        <w:t>J Med Imaging Radiat Oncol</w:t>
      </w:r>
      <w:r w:rsidRPr="002B5129">
        <w:rPr>
          <w:rFonts w:ascii="Calibri" w:hAnsi="Calibri" w:cs="Calibri"/>
          <w:noProof/>
          <w:sz w:val="24"/>
          <w:szCs w:val="24"/>
          <w:lang w:val="en-US"/>
        </w:rPr>
        <w:t>. 2018;62(5):707-715. doi:10.1111/1754-9485.12762</w:t>
      </w:r>
    </w:p>
    <w:p w14:paraId="0B728633" w14:textId="77777777" w:rsidR="007E2A1A" w:rsidRPr="002B5129" w:rsidRDefault="007E2A1A" w:rsidP="007E2A1A">
      <w:pPr>
        <w:widowControl w:val="0"/>
        <w:tabs>
          <w:tab w:val="left" w:pos="426"/>
        </w:tabs>
        <w:autoSpaceDE w:val="0"/>
        <w:autoSpaceDN w:val="0"/>
        <w:adjustRightInd w:val="0"/>
        <w:spacing w:after="0" w:line="360" w:lineRule="auto"/>
        <w:ind w:firstLine="142"/>
        <w:rPr>
          <w:rFonts w:ascii="Calibri" w:hAnsi="Calibri" w:cs="Calibri"/>
          <w:noProof/>
          <w:sz w:val="24"/>
          <w:szCs w:val="24"/>
          <w:lang w:val="en-US"/>
        </w:rPr>
      </w:pPr>
      <w:r w:rsidRPr="002B5129">
        <w:rPr>
          <w:rFonts w:ascii="Calibri" w:hAnsi="Calibri" w:cs="Calibri"/>
          <w:noProof/>
          <w:sz w:val="24"/>
          <w:szCs w:val="24"/>
          <w:lang w:val="en-US"/>
        </w:rPr>
        <w:t xml:space="preserve">3. </w:t>
      </w:r>
      <w:r w:rsidRPr="002B5129">
        <w:rPr>
          <w:rFonts w:ascii="Calibri" w:hAnsi="Calibri" w:cs="Calibri"/>
          <w:noProof/>
          <w:sz w:val="24"/>
          <w:szCs w:val="24"/>
          <w:lang w:val="en-US"/>
        </w:rPr>
        <w:tab/>
        <w:t xml:space="preserve">Xu AY, Bhatnagar J, Bednarz G, et al. Failure modes and effects analysis (FMEA) for Gamma Knife radiosurgery. </w:t>
      </w:r>
      <w:r w:rsidRPr="002B5129">
        <w:rPr>
          <w:rFonts w:ascii="Calibri" w:hAnsi="Calibri" w:cs="Calibri"/>
          <w:i/>
          <w:iCs/>
          <w:noProof/>
          <w:sz w:val="24"/>
          <w:szCs w:val="24"/>
          <w:lang w:val="en-US"/>
        </w:rPr>
        <w:t>J Appl Clin Med Phys</w:t>
      </w:r>
      <w:r w:rsidRPr="002B5129">
        <w:rPr>
          <w:rFonts w:ascii="Calibri" w:hAnsi="Calibri" w:cs="Calibri"/>
          <w:noProof/>
          <w:sz w:val="24"/>
          <w:szCs w:val="24"/>
          <w:lang w:val="en-US"/>
        </w:rPr>
        <w:t>. 2017;18(6):152-168. doi:10.1002/acm2.12205</w:t>
      </w:r>
    </w:p>
    <w:p w14:paraId="43931524" w14:textId="77777777" w:rsidR="007E2A1A" w:rsidRPr="002B5129" w:rsidRDefault="007E2A1A" w:rsidP="007E2A1A">
      <w:pPr>
        <w:widowControl w:val="0"/>
        <w:tabs>
          <w:tab w:val="left" w:pos="426"/>
        </w:tabs>
        <w:autoSpaceDE w:val="0"/>
        <w:autoSpaceDN w:val="0"/>
        <w:adjustRightInd w:val="0"/>
        <w:spacing w:after="0" w:line="360" w:lineRule="auto"/>
        <w:ind w:firstLine="142"/>
        <w:rPr>
          <w:rFonts w:ascii="Calibri" w:hAnsi="Calibri" w:cs="Calibri"/>
          <w:noProof/>
          <w:sz w:val="24"/>
          <w:szCs w:val="24"/>
          <w:lang w:val="en-US"/>
        </w:rPr>
      </w:pPr>
      <w:r w:rsidRPr="002B5129">
        <w:rPr>
          <w:rFonts w:ascii="Calibri" w:hAnsi="Calibri" w:cs="Calibri"/>
          <w:noProof/>
          <w:sz w:val="24"/>
          <w:szCs w:val="24"/>
          <w:lang w:val="en-US"/>
        </w:rPr>
        <w:t xml:space="preserve">4. </w:t>
      </w:r>
      <w:r w:rsidRPr="002B5129">
        <w:rPr>
          <w:rFonts w:ascii="Calibri" w:hAnsi="Calibri" w:cs="Calibri"/>
          <w:noProof/>
          <w:sz w:val="24"/>
          <w:szCs w:val="24"/>
          <w:lang w:val="en-US"/>
        </w:rPr>
        <w:tab/>
        <w:t xml:space="preserve">Martinez‐Marquez D, Terhaer K, Scheinemann P, Mirnajafizadeh A, Carty CP, Stewart RA. Quality by Design for industry translation: Three‐dimensional risk assessment failure mode, effects, and criticality analysis for additively manufactured patient‐specific implants. </w:t>
      </w:r>
      <w:r w:rsidRPr="002B5129">
        <w:rPr>
          <w:rFonts w:ascii="Calibri" w:hAnsi="Calibri" w:cs="Calibri"/>
          <w:i/>
          <w:iCs/>
          <w:noProof/>
          <w:sz w:val="24"/>
          <w:szCs w:val="24"/>
          <w:lang w:val="en-US"/>
        </w:rPr>
        <w:t>Eng Reports</w:t>
      </w:r>
      <w:r w:rsidRPr="002B5129">
        <w:rPr>
          <w:rFonts w:ascii="Calibri" w:hAnsi="Calibri" w:cs="Calibri"/>
          <w:noProof/>
          <w:sz w:val="24"/>
          <w:szCs w:val="24"/>
          <w:lang w:val="en-US"/>
        </w:rPr>
        <w:t>. 2020;2:1-24. doi:10.1002/eng2.12113</w:t>
      </w:r>
    </w:p>
    <w:p w14:paraId="7C9ECBE8" w14:textId="77777777" w:rsidR="007E2A1A" w:rsidRPr="002B5129" w:rsidRDefault="007E2A1A" w:rsidP="007E2A1A">
      <w:pPr>
        <w:widowControl w:val="0"/>
        <w:tabs>
          <w:tab w:val="left" w:pos="426"/>
        </w:tabs>
        <w:autoSpaceDE w:val="0"/>
        <w:autoSpaceDN w:val="0"/>
        <w:adjustRightInd w:val="0"/>
        <w:spacing w:after="0" w:line="360" w:lineRule="auto"/>
        <w:ind w:firstLine="142"/>
        <w:rPr>
          <w:rFonts w:ascii="Calibri" w:hAnsi="Calibri" w:cs="Calibri"/>
          <w:noProof/>
          <w:sz w:val="24"/>
          <w:szCs w:val="24"/>
          <w:lang w:val="en-US"/>
        </w:rPr>
      </w:pPr>
      <w:r w:rsidRPr="002B5129">
        <w:rPr>
          <w:rFonts w:ascii="Calibri" w:hAnsi="Calibri" w:cs="Calibri"/>
          <w:noProof/>
          <w:sz w:val="24"/>
          <w:szCs w:val="24"/>
          <w:lang w:val="en-US"/>
        </w:rPr>
        <w:t xml:space="preserve">5. </w:t>
      </w:r>
      <w:r w:rsidRPr="002B5129">
        <w:rPr>
          <w:rFonts w:ascii="Calibri" w:hAnsi="Calibri" w:cs="Calibri"/>
          <w:noProof/>
          <w:sz w:val="24"/>
          <w:szCs w:val="24"/>
          <w:lang w:val="en-US"/>
        </w:rPr>
        <w:tab/>
        <w:t xml:space="preserve">Varndell W, Fry M, Elliott D. Applying real-time Delphi methods: development of a pain management survey in emergency nursing. </w:t>
      </w:r>
      <w:r w:rsidRPr="002B5129">
        <w:rPr>
          <w:rFonts w:ascii="Calibri" w:hAnsi="Calibri" w:cs="Calibri"/>
          <w:i/>
          <w:iCs/>
          <w:noProof/>
          <w:sz w:val="24"/>
          <w:szCs w:val="24"/>
          <w:lang w:val="en-US"/>
        </w:rPr>
        <w:t>BMC Nurs</w:t>
      </w:r>
      <w:r w:rsidRPr="002B5129">
        <w:rPr>
          <w:rFonts w:ascii="Calibri" w:hAnsi="Calibri" w:cs="Calibri"/>
          <w:noProof/>
          <w:sz w:val="24"/>
          <w:szCs w:val="24"/>
          <w:lang w:val="en-US"/>
        </w:rPr>
        <w:t>. 2021;20:149. doi:10.1186/s12912-021-00661-9</w:t>
      </w:r>
    </w:p>
    <w:p w14:paraId="73018E92" w14:textId="77777777" w:rsidR="007E2A1A" w:rsidRPr="002B5129" w:rsidRDefault="007E2A1A" w:rsidP="007E2A1A">
      <w:pPr>
        <w:widowControl w:val="0"/>
        <w:tabs>
          <w:tab w:val="left" w:pos="426"/>
        </w:tabs>
        <w:autoSpaceDE w:val="0"/>
        <w:autoSpaceDN w:val="0"/>
        <w:adjustRightInd w:val="0"/>
        <w:spacing w:after="0" w:line="360" w:lineRule="auto"/>
        <w:ind w:firstLine="142"/>
        <w:rPr>
          <w:rFonts w:ascii="Calibri" w:hAnsi="Calibri" w:cs="Calibri"/>
          <w:noProof/>
          <w:sz w:val="24"/>
          <w:szCs w:val="24"/>
          <w:lang w:val="en-US"/>
        </w:rPr>
      </w:pPr>
      <w:r w:rsidRPr="002B5129">
        <w:rPr>
          <w:rFonts w:ascii="Calibri" w:hAnsi="Calibri" w:cs="Calibri"/>
          <w:noProof/>
          <w:sz w:val="24"/>
          <w:szCs w:val="24"/>
          <w:lang w:val="en-US"/>
        </w:rPr>
        <w:t xml:space="preserve">6. </w:t>
      </w:r>
      <w:r w:rsidRPr="002B5129">
        <w:rPr>
          <w:rFonts w:ascii="Calibri" w:hAnsi="Calibri" w:cs="Calibri"/>
          <w:noProof/>
          <w:sz w:val="24"/>
          <w:szCs w:val="24"/>
          <w:lang w:val="en-US"/>
        </w:rPr>
        <w:tab/>
        <w:t xml:space="preserve">Wu Z, Liu W, Nie W. Literature review and prospect of the development and application of FMEA in manufacturing industry. </w:t>
      </w:r>
      <w:r w:rsidRPr="002B5129">
        <w:rPr>
          <w:rFonts w:ascii="Calibri" w:hAnsi="Calibri" w:cs="Calibri"/>
          <w:i/>
          <w:iCs/>
          <w:noProof/>
          <w:sz w:val="24"/>
          <w:szCs w:val="24"/>
          <w:lang w:val="en-US"/>
        </w:rPr>
        <w:t>Int J Adv Manuf Technol</w:t>
      </w:r>
      <w:r w:rsidRPr="002B5129">
        <w:rPr>
          <w:rFonts w:ascii="Calibri" w:hAnsi="Calibri" w:cs="Calibri"/>
          <w:noProof/>
          <w:sz w:val="24"/>
          <w:szCs w:val="24"/>
          <w:lang w:val="en-US"/>
        </w:rPr>
        <w:t>. 2021;112:1409-1436. doi:10.1007/s00170-020-06425-0</w:t>
      </w:r>
    </w:p>
    <w:p w14:paraId="1DC76AA8" w14:textId="77777777" w:rsidR="007E2A1A" w:rsidRPr="002B5129" w:rsidRDefault="007E2A1A" w:rsidP="007E2A1A">
      <w:pPr>
        <w:widowControl w:val="0"/>
        <w:tabs>
          <w:tab w:val="left" w:pos="426"/>
        </w:tabs>
        <w:autoSpaceDE w:val="0"/>
        <w:autoSpaceDN w:val="0"/>
        <w:adjustRightInd w:val="0"/>
        <w:spacing w:after="0" w:line="360" w:lineRule="auto"/>
        <w:ind w:firstLine="142"/>
        <w:rPr>
          <w:rFonts w:ascii="Calibri" w:hAnsi="Calibri" w:cs="Calibri"/>
          <w:noProof/>
          <w:sz w:val="24"/>
          <w:szCs w:val="24"/>
        </w:rPr>
      </w:pPr>
      <w:r w:rsidRPr="002B5129">
        <w:rPr>
          <w:rFonts w:ascii="Calibri" w:hAnsi="Calibri" w:cs="Calibri"/>
          <w:noProof/>
          <w:sz w:val="24"/>
          <w:szCs w:val="24"/>
          <w:lang w:val="en-US"/>
        </w:rPr>
        <w:t xml:space="preserve">7. </w:t>
      </w:r>
      <w:r w:rsidRPr="002B5129">
        <w:rPr>
          <w:rFonts w:ascii="Calibri" w:hAnsi="Calibri" w:cs="Calibri"/>
          <w:noProof/>
          <w:sz w:val="24"/>
          <w:szCs w:val="24"/>
          <w:lang w:val="en-US"/>
        </w:rPr>
        <w:tab/>
        <w:t xml:space="preserve">Liu HC, Li P, You JX, Chen YZ. A novel approach for FMEA: Combination of interval 2-tuple linguistic variables and gray relational analysis. </w:t>
      </w:r>
      <w:r w:rsidRPr="002B5129">
        <w:rPr>
          <w:rFonts w:ascii="Calibri" w:hAnsi="Calibri" w:cs="Calibri"/>
          <w:i/>
          <w:iCs/>
          <w:noProof/>
          <w:sz w:val="24"/>
          <w:szCs w:val="24"/>
        </w:rPr>
        <w:t>Qual Reliab Eng Int</w:t>
      </w:r>
      <w:r w:rsidRPr="002B5129">
        <w:rPr>
          <w:rFonts w:ascii="Calibri" w:hAnsi="Calibri" w:cs="Calibri"/>
          <w:noProof/>
          <w:sz w:val="24"/>
          <w:szCs w:val="24"/>
        </w:rPr>
        <w:t>. 2015;31(5):761-772. doi:10.1002/qre.1633</w:t>
      </w:r>
    </w:p>
    <w:p w14:paraId="12495FB5" w14:textId="6F2898F9" w:rsidR="00431AEA" w:rsidRPr="002B5129" w:rsidRDefault="00801809" w:rsidP="007E2A1A">
      <w:pPr>
        <w:tabs>
          <w:tab w:val="left" w:pos="426"/>
        </w:tabs>
        <w:spacing w:after="0" w:line="360" w:lineRule="auto"/>
        <w:rPr>
          <w:rFonts w:ascii="Calibri" w:hAnsi="Calibri" w:cs="Calibri"/>
          <w:b/>
          <w:bCs/>
          <w:sz w:val="24"/>
          <w:szCs w:val="24"/>
        </w:rPr>
      </w:pPr>
      <w:r w:rsidRPr="002B5129">
        <w:rPr>
          <w:rFonts w:ascii="Calibri" w:hAnsi="Calibri" w:cs="Calibri"/>
          <w:b/>
          <w:bCs/>
          <w:sz w:val="24"/>
          <w:szCs w:val="24"/>
        </w:rPr>
        <w:fldChar w:fldCharType="end"/>
      </w:r>
    </w:p>
    <w:sectPr w:rsidR="00431AEA" w:rsidRPr="002B5129" w:rsidSect="00452B58">
      <w:pgSz w:w="11906" w:h="16838"/>
      <w:pgMar w:top="1440" w:right="1416"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altName w:val="Leelawadee UI"/>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altName w:val="Leelawadee UI"/>
    <w:panose1 w:val="02020603050405020304"/>
    <w:charset w:val="DE"/>
    <w:family w:val="roman"/>
    <w:pitch w:val="variable"/>
    <w:sig w:usb0="81000003" w:usb1="00000000" w:usb2="00000000" w:usb3="00000000" w:csb0="00010001" w:csb1="00000000"/>
  </w:font>
  <w:font w:name="Goudy Old Style">
    <w:panose1 w:val="0202050205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ngsanaUPC">
    <w:altName w:val="Leelawadee UI"/>
    <w:charset w:val="DE"/>
    <w:family w:val="roman"/>
    <w:pitch w:val="variable"/>
    <w:sig w:usb0="81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46858"/>
    <w:multiLevelType w:val="multilevel"/>
    <w:tmpl w:val="AB9284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239D7"/>
    <w:multiLevelType w:val="multilevel"/>
    <w:tmpl w:val="35882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4967845">
    <w:abstractNumId w:val="0"/>
  </w:num>
  <w:num w:numId="2" w16cid:durableId="1227914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doNotDisplayPageBoundaries/>
  <w:proofState w:grammar="clean"/>
  <w:defaultTabStop w:val="720"/>
  <w:hyphenationZone w:val="425"/>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7DA"/>
    <w:rsid w:val="001233F2"/>
    <w:rsid w:val="00144A06"/>
    <w:rsid w:val="00147470"/>
    <w:rsid w:val="0017253E"/>
    <w:rsid w:val="001D06FC"/>
    <w:rsid w:val="00225503"/>
    <w:rsid w:val="002B5129"/>
    <w:rsid w:val="002C0DD9"/>
    <w:rsid w:val="00367EFC"/>
    <w:rsid w:val="00384101"/>
    <w:rsid w:val="0042790C"/>
    <w:rsid w:val="00431AEA"/>
    <w:rsid w:val="00452B58"/>
    <w:rsid w:val="0051484B"/>
    <w:rsid w:val="00527352"/>
    <w:rsid w:val="005420AD"/>
    <w:rsid w:val="005E67D4"/>
    <w:rsid w:val="00624EF4"/>
    <w:rsid w:val="00637ACF"/>
    <w:rsid w:val="006A4823"/>
    <w:rsid w:val="006B6864"/>
    <w:rsid w:val="0076364A"/>
    <w:rsid w:val="00770242"/>
    <w:rsid w:val="00775880"/>
    <w:rsid w:val="00781EE1"/>
    <w:rsid w:val="00783060"/>
    <w:rsid w:val="0079754C"/>
    <w:rsid w:val="007A3913"/>
    <w:rsid w:val="007E2A1A"/>
    <w:rsid w:val="007F5FAB"/>
    <w:rsid w:val="00801809"/>
    <w:rsid w:val="008417DA"/>
    <w:rsid w:val="008778EC"/>
    <w:rsid w:val="00902B06"/>
    <w:rsid w:val="00AA086D"/>
    <w:rsid w:val="00AF671E"/>
    <w:rsid w:val="00B011C3"/>
    <w:rsid w:val="00B16A8F"/>
    <w:rsid w:val="00B73995"/>
    <w:rsid w:val="00BD5E90"/>
    <w:rsid w:val="00DC24AE"/>
    <w:rsid w:val="00E37C82"/>
    <w:rsid w:val="00E84E42"/>
    <w:rsid w:val="00ED6B1A"/>
    <w:rsid w:val="00F05D74"/>
    <w:rsid w:val="00F6032A"/>
    <w:rsid w:val="00F716BD"/>
    <w:rsid w:val="00F71EB3"/>
  </w:rsids>
  <m:mathPr>
    <m:mathFont m:val="Cambria Math"/>
    <m:brkBin m:val="before"/>
    <m:brkBinSub m:val="--"/>
    <m:smallFrac m:val="0"/>
    <m:dispDef/>
    <m:lMargin m:val="0"/>
    <m:rMargin m:val="0"/>
    <m:defJc m:val="centerGroup"/>
    <m:wrapIndent m:val="1440"/>
    <m:intLim m:val="subSup"/>
    <m:naryLim m:val="undOvr"/>
  </m:mathPr>
  <w:themeFontLang w:val="nl-BE"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AD162"/>
  <w15:chartTrackingRefBased/>
  <w15:docId w15:val="{1BC23078-8B21-4180-AA0C-6B671CC68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7DA"/>
  </w:style>
  <w:style w:type="paragraph" w:styleId="Heading1">
    <w:name w:val="heading 1"/>
    <w:basedOn w:val="Normal"/>
    <w:link w:val="Heading1Char"/>
    <w:uiPriority w:val="9"/>
    <w:qFormat/>
    <w:rsid w:val="007F5FA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31A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417DA"/>
    <w:pPr>
      <w:autoSpaceDE w:val="0"/>
      <w:autoSpaceDN w:val="0"/>
      <w:adjustRightInd w:val="0"/>
      <w:spacing w:after="0" w:line="240" w:lineRule="auto"/>
    </w:pPr>
    <w:rPr>
      <w:rFonts w:ascii="Goudy Old Style" w:hAnsi="Goudy Old Style" w:cs="Goudy Old Style"/>
      <w:color w:val="000000"/>
      <w:sz w:val="24"/>
      <w:szCs w:val="24"/>
    </w:rPr>
  </w:style>
  <w:style w:type="character" w:customStyle="1" w:styleId="A1">
    <w:name w:val="A1"/>
    <w:uiPriority w:val="99"/>
    <w:rsid w:val="008417DA"/>
    <w:rPr>
      <w:rFonts w:cs="Goudy Old Style"/>
      <w:color w:val="000000"/>
    </w:rPr>
  </w:style>
  <w:style w:type="character" w:customStyle="1" w:styleId="Heading1Char">
    <w:name w:val="Heading 1 Char"/>
    <w:basedOn w:val="DefaultParagraphFont"/>
    <w:link w:val="Heading1"/>
    <w:uiPriority w:val="9"/>
    <w:rsid w:val="007F5FA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431AEA"/>
    <w:rPr>
      <w:rFonts w:asciiTheme="majorHAnsi" w:eastAsiaTheme="majorEastAsia" w:hAnsiTheme="majorHAnsi" w:cstheme="majorBidi"/>
      <w:color w:val="2F5496" w:themeColor="accent1" w:themeShade="BF"/>
      <w:sz w:val="26"/>
      <w:szCs w:val="26"/>
    </w:rPr>
  </w:style>
  <w:style w:type="character" w:customStyle="1" w:styleId="toptext">
    <w:name w:val="top__text"/>
    <w:basedOn w:val="DefaultParagraphFont"/>
    <w:rsid w:val="00431AEA"/>
  </w:style>
  <w:style w:type="character" w:customStyle="1" w:styleId="article-headerjournal">
    <w:name w:val="article-header__journal"/>
    <w:basedOn w:val="DefaultParagraphFont"/>
    <w:rsid w:val="00431AEA"/>
  </w:style>
  <w:style w:type="character" w:customStyle="1" w:styleId="article-headersep">
    <w:name w:val="article-header__sep"/>
    <w:basedOn w:val="DefaultParagraphFont"/>
    <w:rsid w:val="00431AEA"/>
  </w:style>
  <w:style w:type="character" w:styleId="Hyperlink">
    <w:name w:val="Hyperlink"/>
    <w:basedOn w:val="DefaultParagraphFont"/>
    <w:uiPriority w:val="99"/>
    <w:semiHidden/>
    <w:unhideWhenUsed/>
    <w:rsid w:val="00431AEA"/>
    <w:rPr>
      <w:color w:val="0000FF"/>
      <w:u w:val="single"/>
    </w:rPr>
  </w:style>
  <w:style w:type="character" w:customStyle="1" w:styleId="article-headerpages">
    <w:name w:val="article-header__pages"/>
    <w:basedOn w:val="DefaultParagraphFont"/>
    <w:rsid w:val="00431AEA"/>
  </w:style>
  <w:style w:type="character" w:customStyle="1" w:styleId="article-headerdate">
    <w:name w:val="article-header__date"/>
    <w:basedOn w:val="DefaultParagraphFont"/>
    <w:rsid w:val="00431AEA"/>
  </w:style>
  <w:style w:type="paragraph" w:customStyle="1" w:styleId="article-toolsitem">
    <w:name w:val="article-tools__item"/>
    <w:basedOn w:val="Normal"/>
    <w:rsid w:val="00431A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sic">
    <w:name w:val="basic"/>
    <w:basedOn w:val="DefaultParagraphFont"/>
    <w:rsid w:val="00431AEA"/>
  </w:style>
  <w:style w:type="paragraph" w:customStyle="1" w:styleId="loaitem">
    <w:name w:val="loa__item"/>
    <w:basedOn w:val="Normal"/>
    <w:rsid w:val="00431A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headerdoi">
    <w:name w:val="article-header__doi"/>
    <w:basedOn w:val="DefaultParagraphFont"/>
    <w:rsid w:val="00431AEA"/>
  </w:style>
  <w:style w:type="character" w:customStyle="1" w:styleId="article-headerdoilabel">
    <w:name w:val="article-header__doi__label"/>
    <w:basedOn w:val="DefaultParagraphFont"/>
    <w:rsid w:val="00431AEA"/>
  </w:style>
  <w:style w:type="character" w:customStyle="1" w:styleId="cf01">
    <w:name w:val="cf01"/>
    <w:rsid w:val="00624EF4"/>
    <w:rPr>
      <w:rFonts w:ascii="Segoe UI" w:hAnsi="Segoe UI" w:cs="Segoe UI"/>
      <w:sz w:val="18"/>
      <w:szCs w:val="18"/>
    </w:rPr>
  </w:style>
  <w:style w:type="paragraph" w:customStyle="1" w:styleId="CommentText1">
    <w:name w:val="Comment Text1"/>
    <w:basedOn w:val="Normal"/>
    <w:rsid w:val="007A3913"/>
    <w:pPr>
      <w:suppressAutoHyphens/>
      <w:spacing w:after="0" w:line="100" w:lineRule="atLeast"/>
    </w:pPr>
    <w:rPr>
      <w:rFonts w:ascii="Calibri" w:eastAsia="Times New Roman" w:hAnsi="Calibri" w:cs="AngsanaUPC"/>
      <w:kern w:val="1"/>
      <w:sz w:val="20"/>
      <w:szCs w:val="20"/>
      <w:lang w:val="en-US" w:eastAsia="th-TH" w:bidi="th-TH"/>
    </w:rPr>
  </w:style>
  <w:style w:type="character" w:customStyle="1" w:styleId="muitypography-root">
    <w:name w:val="muitypography-root"/>
    <w:basedOn w:val="DefaultParagraphFont"/>
    <w:rsid w:val="00367EFC"/>
  </w:style>
  <w:style w:type="paragraph" w:styleId="ListParagraph">
    <w:name w:val="List Paragraph"/>
    <w:basedOn w:val="Normal"/>
    <w:qFormat/>
    <w:rsid w:val="005420AD"/>
    <w:pPr>
      <w:suppressAutoHyphens/>
      <w:spacing w:after="0" w:line="100" w:lineRule="atLeast"/>
      <w:ind w:left="720"/>
    </w:pPr>
    <w:rPr>
      <w:rFonts w:ascii="Calibri" w:eastAsia="Times New Roman" w:hAnsi="Calibri" w:cs="Calibri"/>
      <w:color w:val="000000"/>
      <w:kern w:val="1"/>
      <w:sz w:val="24"/>
      <w:szCs w:val="24"/>
      <w:lang w:val="en" w:eastAsia="th-TH" w:bidi="th-TH"/>
    </w:rPr>
  </w:style>
  <w:style w:type="paragraph" w:styleId="Revision">
    <w:name w:val="Revision"/>
    <w:hidden/>
    <w:uiPriority w:val="99"/>
    <w:semiHidden/>
    <w:rsid w:val="0051484B"/>
    <w:pPr>
      <w:spacing w:after="0" w:line="240" w:lineRule="auto"/>
    </w:pPr>
  </w:style>
  <w:style w:type="character" w:styleId="CommentReference">
    <w:name w:val="annotation reference"/>
    <w:basedOn w:val="DefaultParagraphFont"/>
    <w:uiPriority w:val="99"/>
    <w:semiHidden/>
    <w:unhideWhenUsed/>
    <w:rsid w:val="00527352"/>
    <w:rPr>
      <w:sz w:val="16"/>
      <w:szCs w:val="16"/>
    </w:rPr>
  </w:style>
  <w:style w:type="paragraph" w:styleId="CommentText">
    <w:name w:val="annotation text"/>
    <w:basedOn w:val="Normal"/>
    <w:link w:val="CommentTextChar"/>
    <w:uiPriority w:val="99"/>
    <w:semiHidden/>
    <w:unhideWhenUsed/>
    <w:rsid w:val="00527352"/>
    <w:pPr>
      <w:spacing w:line="240" w:lineRule="auto"/>
    </w:pPr>
    <w:rPr>
      <w:sz w:val="20"/>
      <w:szCs w:val="20"/>
    </w:rPr>
  </w:style>
  <w:style w:type="character" w:customStyle="1" w:styleId="CommentTextChar">
    <w:name w:val="Comment Text Char"/>
    <w:basedOn w:val="DefaultParagraphFont"/>
    <w:link w:val="CommentText"/>
    <w:uiPriority w:val="99"/>
    <w:semiHidden/>
    <w:rsid w:val="00527352"/>
    <w:rPr>
      <w:sz w:val="20"/>
      <w:szCs w:val="20"/>
    </w:rPr>
  </w:style>
  <w:style w:type="paragraph" w:styleId="CommentSubject">
    <w:name w:val="annotation subject"/>
    <w:basedOn w:val="CommentText"/>
    <w:next w:val="CommentText"/>
    <w:link w:val="CommentSubjectChar"/>
    <w:uiPriority w:val="99"/>
    <w:semiHidden/>
    <w:unhideWhenUsed/>
    <w:rsid w:val="00527352"/>
    <w:rPr>
      <w:b/>
      <w:bCs/>
    </w:rPr>
  </w:style>
  <w:style w:type="character" w:customStyle="1" w:styleId="CommentSubjectChar">
    <w:name w:val="Comment Subject Char"/>
    <w:basedOn w:val="CommentTextChar"/>
    <w:link w:val="CommentSubject"/>
    <w:uiPriority w:val="99"/>
    <w:semiHidden/>
    <w:rsid w:val="005273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033742">
      <w:bodyDiv w:val="1"/>
      <w:marLeft w:val="0"/>
      <w:marRight w:val="0"/>
      <w:marTop w:val="0"/>
      <w:marBottom w:val="0"/>
      <w:divBdr>
        <w:top w:val="none" w:sz="0" w:space="0" w:color="auto"/>
        <w:left w:val="none" w:sz="0" w:space="0" w:color="auto"/>
        <w:bottom w:val="none" w:sz="0" w:space="0" w:color="auto"/>
        <w:right w:val="none" w:sz="0" w:space="0" w:color="auto"/>
      </w:divBdr>
      <w:divsChild>
        <w:div w:id="1905145580">
          <w:marLeft w:val="0"/>
          <w:marRight w:val="0"/>
          <w:marTop w:val="0"/>
          <w:marBottom w:val="0"/>
          <w:divBdr>
            <w:top w:val="none" w:sz="0" w:space="0" w:color="auto"/>
            <w:left w:val="none" w:sz="0" w:space="0" w:color="auto"/>
            <w:bottom w:val="none" w:sz="0" w:space="0" w:color="auto"/>
            <w:right w:val="none" w:sz="0" w:space="0" w:color="auto"/>
          </w:divBdr>
          <w:divsChild>
            <w:div w:id="480123155">
              <w:marLeft w:val="-240"/>
              <w:marRight w:val="-240"/>
              <w:marTop w:val="0"/>
              <w:marBottom w:val="0"/>
              <w:divBdr>
                <w:top w:val="none" w:sz="0" w:space="0" w:color="auto"/>
                <w:left w:val="none" w:sz="0" w:space="0" w:color="auto"/>
                <w:bottom w:val="none" w:sz="0" w:space="0" w:color="auto"/>
                <w:right w:val="none" w:sz="0" w:space="0" w:color="auto"/>
              </w:divBdr>
              <w:divsChild>
                <w:div w:id="1019968851">
                  <w:marLeft w:val="0"/>
                  <w:marRight w:val="0"/>
                  <w:marTop w:val="0"/>
                  <w:marBottom w:val="0"/>
                  <w:divBdr>
                    <w:top w:val="none" w:sz="0" w:space="0" w:color="auto"/>
                    <w:left w:val="none" w:sz="0" w:space="0" w:color="auto"/>
                    <w:bottom w:val="none" w:sz="0" w:space="0" w:color="auto"/>
                    <w:right w:val="none" w:sz="0" w:space="0" w:color="auto"/>
                  </w:divBdr>
                  <w:divsChild>
                    <w:div w:id="399718579">
                      <w:marLeft w:val="0"/>
                      <w:marRight w:val="0"/>
                      <w:marTop w:val="0"/>
                      <w:marBottom w:val="0"/>
                      <w:divBdr>
                        <w:top w:val="none" w:sz="0" w:space="0" w:color="auto"/>
                        <w:left w:val="none" w:sz="0" w:space="0" w:color="auto"/>
                        <w:bottom w:val="none" w:sz="0" w:space="0" w:color="auto"/>
                        <w:right w:val="none" w:sz="0" w:space="0" w:color="auto"/>
                      </w:divBdr>
                    </w:div>
                  </w:divsChild>
                </w:div>
                <w:div w:id="625433567">
                  <w:marLeft w:val="0"/>
                  <w:marRight w:val="0"/>
                  <w:marTop w:val="0"/>
                  <w:marBottom w:val="0"/>
                  <w:divBdr>
                    <w:top w:val="none" w:sz="0" w:space="0" w:color="auto"/>
                    <w:left w:val="none" w:sz="0" w:space="0" w:color="auto"/>
                    <w:bottom w:val="none" w:sz="0" w:space="0" w:color="auto"/>
                    <w:right w:val="none" w:sz="0" w:space="0" w:color="auto"/>
                  </w:divBdr>
                  <w:divsChild>
                    <w:div w:id="311451505">
                      <w:marLeft w:val="0"/>
                      <w:marRight w:val="0"/>
                      <w:marTop w:val="0"/>
                      <w:marBottom w:val="0"/>
                      <w:divBdr>
                        <w:top w:val="none" w:sz="0" w:space="0" w:color="auto"/>
                        <w:left w:val="none" w:sz="0" w:space="0" w:color="auto"/>
                        <w:bottom w:val="none" w:sz="0" w:space="0" w:color="auto"/>
                        <w:right w:val="none" w:sz="0" w:space="0" w:color="auto"/>
                      </w:divBdr>
                      <w:divsChild>
                        <w:div w:id="1934631879">
                          <w:marLeft w:val="0"/>
                          <w:marRight w:val="0"/>
                          <w:marTop w:val="0"/>
                          <w:marBottom w:val="0"/>
                          <w:divBdr>
                            <w:top w:val="none" w:sz="0" w:space="0" w:color="auto"/>
                            <w:left w:val="none" w:sz="0" w:space="0" w:color="auto"/>
                            <w:bottom w:val="none" w:sz="0" w:space="0" w:color="auto"/>
                            <w:right w:val="none" w:sz="0" w:space="0" w:color="auto"/>
                          </w:divBdr>
                          <w:divsChild>
                            <w:div w:id="1290867196">
                              <w:marLeft w:val="0"/>
                              <w:marRight w:val="0"/>
                              <w:marTop w:val="0"/>
                              <w:marBottom w:val="0"/>
                              <w:divBdr>
                                <w:top w:val="none" w:sz="0" w:space="0" w:color="auto"/>
                                <w:left w:val="none" w:sz="0" w:space="0" w:color="auto"/>
                                <w:bottom w:val="none" w:sz="0" w:space="0" w:color="auto"/>
                                <w:right w:val="none" w:sz="0" w:space="0" w:color="auto"/>
                              </w:divBdr>
                              <w:divsChild>
                                <w:div w:id="1185166357">
                                  <w:marLeft w:val="0"/>
                                  <w:marRight w:val="0"/>
                                  <w:marTop w:val="0"/>
                                  <w:marBottom w:val="0"/>
                                  <w:divBdr>
                                    <w:top w:val="none" w:sz="0" w:space="0" w:color="auto"/>
                                    <w:left w:val="none" w:sz="0" w:space="0" w:color="auto"/>
                                    <w:bottom w:val="none" w:sz="0" w:space="0" w:color="auto"/>
                                    <w:right w:val="none" w:sz="0" w:space="0" w:color="auto"/>
                                  </w:divBdr>
                                </w:div>
                                <w:div w:id="819419347">
                                  <w:marLeft w:val="0"/>
                                  <w:marRight w:val="0"/>
                                  <w:marTop w:val="0"/>
                                  <w:marBottom w:val="0"/>
                                  <w:divBdr>
                                    <w:top w:val="none" w:sz="0" w:space="0" w:color="auto"/>
                                    <w:left w:val="none" w:sz="0" w:space="0" w:color="auto"/>
                                    <w:bottom w:val="none" w:sz="0" w:space="0" w:color="auto"/>
                                    <w:right w:val="none" w:sz="0" w:space="0" w:color="auto"/>
                                  </w:divBdr>
                                </w:div>
                                <w:div w:id="907610412">
                                  <w:marLeft w:val="0"/>
                                  <w:marRight w:val="0"/>
                                  <w:marTop w:val="0"/>
                                  <w:marBottom w:val="0"/>
                                  <w:divBdr>
                                    <w:top w:val="none" w:sz="0" w:space="0" w:color="auto"/>
                                    <w:left w:val="none" w:sz="0" w:space="0" w:color="auto"/>
                                    <w:bottom w:val="none" w:sz="0" w:space="0" w:color="auto"/>
                                    <w:right w:val="none" w:sz="0" w:space="0" w:color="auto"/>
                                  </w:divBdr>
                                </w:div>
                                <w:div w:id="159654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1799994">
          <w:marLeft w:val="0"/>
          <w:marRight w:val="0"/>
          <w:marTop w:val="0"/>
          <w:marBottom w:val="0"/>
          <w:divBdr>
            <w:top w:val="none" w:sz="0" w:space="0" w:color="auto"/>
            <w:left w:val="none" w:sz="0" w:space="0" w:color="auto"/>
            <w:bottom w:val="none" w:sz="0" w:space="0" w:color="auto"/>
            <w:right w:val="none" w:sz="0" w:space="0" w:color="auto"/>
          </w:divBdr>
          <w:divsChild>
            <w:div w:id="1036352297">
              <w:marLeft w:val="0"/>
              <w:marRight w:val="0"/>
              <w:marTop w:val="0"/>
              <w:marBottom w:val="0"/>
              <w:divBdr>
                <w:top w:val="none" w:sz="0" w:space="0" w:color="auto"/>
                <w:left w:val="none" w:sz="0" w:space="0" w:color="auto"/>
                <w:bottom w:val="none" w:sz="0" w:space="0" w:color="auto"/>
                <w:right w:val="none" w:sz="0" w:space="0" w:color="auto"/>
              </w:divBdr>
            </w:div>
            <w:div w:id="167403374">
              <w:marLeft w:val="0"/>
              <w:marRight w:val="0"/>
              <w:marTop w:val="0"/>
              <w:marBottom w:val="0"/>
              <w:divBdr>
                <w:top w:val="none" w:sz="0" w:space="0" w:color="auto"/>
                <w:left w:val="none" w:sz="0" w:space="0" w:color="auto"/>
                <w:bottom w:val="none" w:sz="0" w:space="0" w:color="auto"/>
                <w:right w:val="none" w:sz="0" w:space="0" w:color="auto"/>
              </w:divBdr>
            </w:div>
            <w:div w:id="494615309">
              <w:marLeft w:val="0"/>
              <w:marRight w:val="0"/>
              <w:marTop w:val="0"/>
              <w:marBottom w:val="0"/>
              <w:divBdr>
                <w:top w:val="none" w:sz="0" w:space="0" w:color="auto"/>
                <w:left w:val="none" w:sz="0" w:space="0" w:color="auto"/>
                <w:bottom w:val="none" w:sz="0" w:space="0" w:color="auto"/>
                <w:right w:val="none" w:sz="0" w:space="0" w:color="auto"/>
              </w:divBdr>
            </w:div>
            <w:div w:id="2086953470">
              <w:marLeft w:val="0"/>
              <w:marRight w:val="0"/>
              <w:marTop w:val="0"/>
              <w:marBottom w:val="0"/>
              <w:divBdr>
                <w:top w:val="none" w:sz="0" w:space="0" w:color="auto"/>
                <w:left w:val="none" w:sz="0" w:space="0" w:color="auto"/>
                <w:bottom w:val="none" w:sz="0" w:space="0" w:color="auto"/>
                <w:right w:val="none" w:sz="0" w:space="0" w:color="auto"/>
              </w:divBdr>
            </w:div>
            <w:div w:id="2115976230">
              <w:marLeft w:val="0"/>
              <w:marRight w:val="0"/>
              <w:marTop w:val="0"/>
              <w:marBottom w:val="0"/>
              <w:divBdr>
                <w:top w:val="none" w:sz="0" w:space="0" w:color="auto"/>
                <w:left w:val="none" w:sz="0" w:space="0" w:color="auto"/>
                <w:bottom w:val="none" w:sz="0" w:space="0" w:color="auto"/>
                <w:right w:val="none" w:sz="0" w:space="0" w:color="auto"/>
              </w:divBdr>
            </w:div>
            <w:div w:id="665942163">
              <w:marLeft w:val="0"/>
              <w:marRight w:val="0"/>
              <w:marTop w:val="0"/>
              <w:marBottom w:val="0"/>
              <w:divBdr>
                <w:top w:val="none" w:sz="0" w:space="0" w:color="auto"/>
                <w:left w:val="none" w:sz="0" w:space="0" w:color="auto"/>
                <w:bottom w:val="none" w:sz="0" w:space="0" w:color="auto"/>
                <w:right w:val="none" w:sz="0" w:space="0" w:color="auto"/>
              </w:divBdr>
            </w:div>
            <w:div w:id="1169247925">
              <w:marLeft w:val="0"/>
              <w:marRight w:val="0"/>
              <w:marTop w:val="0"/>
              <w:marBottom w:val="0"/>
              <w:divBdr>
                <w:top w:val="none" w:sz="0" w:space="0" w:color="auto"/>
                <w:left w:val="none" w:sz="0" w:space="0" w:color="auto"/>
                <w:bottom w:val="none" w:sz="0" w:space="0" w:color="auto"/>
                <w:right w:val="none" w:sz="0" w:space="0" w:color="auto"/>
              </w:divBdr>
            </w:div>
            <w:div w:id="53859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030832">
      <w:bodyDiv w:val="1"/>
      <w:marLeft w:val="0"/>
      <w:marRight w:val="0"/>
      <w:marTop w:val="0"/>
      <w:marBottom w:val="0"/>
      <w:divBdr>
        <w:top w:val="none" w:sz="0" w:space="0" w:color="auto"/>
        <w:left w:val="none" w:sz="0" w:space="0" w:color="auto"/>
        <w:bottom w:val="none" w:sz="0" w:space="0" w:color="auto"/>
        <w:right w:val="none" w:sz="0" w:space="0" w:color="auto"/>
      </w:divBdr>
    </w:div>
    <w:div w:id="1312834442">
      <w:bodyDiv w:val="1"/>
      <w:marLeft w:val="0"/>
      <w:marRight w:val="0"/>
      <w:marTop w:val="0"/>
      <w:marBottom w:val="0"/>
      <w:divBdr>
        <w:top w:val="none" w:sz="0" w:space="0" w:color="auto"/>
        <w:left w:val="none" w:sz="0" w:space="0" w:color="auto"/>
        <w:bottom w:val="none" w:sz="0" w:space="0" w:color="auto"/>
        <w:right w:val="none" w:sz="0" w:space="0" w:color="auto"/>
      </w:divBdr>
      <w:divsChild>
        <w:div w:id="1029181727">
          <w:marLeft w:val="0"/>
          <w:marRight w:val="0"/>
          <w:marTop w:val="0"/>
          <w:marBottom w:val="0"/>
          <w:divBdr>
            <w:top w:val="none" w:sz="0" w:space="0" w:color="auto"/>
            <w:left w:val="none" w:sz="0" w:space="0" w:color="auto"/>
            <w:bottom w:val="none" w:sz="0" w:space="0" w:color="auto"/>
            <w:right w:val="none" w:sz="0" w:space="0" w:color="auto"/>
          </w:divBdr>
        </w:div>
        <w:div w:id="1558859551">
          <w:marLeft w:val="0"/>
          <w:marRight w:val="0"/>
          <w:marTop w:val="0"/>
          <w:marBottom w:val="0"/>
          <w:divBdr>
            <w:top w:val="none" w:sz="0" w:space="0" w:color="auto"/>
            <w:left w:val="none" w:sz="0" w:space="0" w:color="auto"/>
            <w:bottom w:val="none" w:sz="0" w:space="0" w:color="auto"/>
            <w:right w:val="none" w:sz="0" w:space="0" w:color="auto"/>
          </w:divBdr>
        </w:div>
        <w:div w:id="2088333844">
          <w:marLeft w:val="0"/>
          <w:marRight w:val="0"/>
          <w:marTop w:val="0"/>
          <w:marBottom w:val="0"/>
          <w:divBdr>
            <w:top w:val="none" w:sz="0" w:space="0" w:color="auto"/>
            <w:left w:val="none" w:sz="0" w:space="0" w:color="auto"/>
            <w:bottom w:val="none" w:sz="0" w:space="0" w:color="auto"/>
            <w:right w:val="none" w:sz="0" w:space="0" w:color="auto"/>
          </w:divBdr>
        </w:div>
      </w:divsChild>
    </w:div>
    <w:div w:id="132169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42DD5-FE2C-4CF8-B74D-155D3042F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4531</Words>
  <Characters>25831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Wipharat Phokee</dc:creator>
  <cp:keywords/>
  <dc:description/>
  <cp:lastModifiedBy>WIPHARAT PHOKEE</cp:lastModifiedBy>
  <cp:revision>10</cp:revision>
  <dcterms:created xsi:type="dcterms:W3CDTF">2023-01-17T04:45:00Z</dcterms:created>
  <dcterms:modified xsi:type="dcterms:W3CDTF">2023-01-20T09:49:00Z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0490726b-ef06-38da-b551-47763c547482</vt:lpwstr>
  </property>
  <property fmtid="{D5CDD505-2E9C-101B-9397-08002B2CF9AE}" pid="4" name="Mendeley Citation Style_1">
    <vt:lpwstr>http://www.zotero.org/styles/american-medical-association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