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5C3" w:rsidRPr="00EB26DF" w:rsidRDefault="00C565C3" w:rsidP="00C565C3">
      <w:pPr>
        <w:spacing w:line="360" w:lineRule="auto"/>
        <w:jc w:val="both"/>
        <w:rPr>
          <w:rFonts w:ascii="AdvTT3713a231" w:hAnsi="AdvTT3713a231"/>
          <w:color w:val="131413"/>
        </w:rPr>
      </w:pPr>
      <w:r w:rsidRPr="00EB26DF">
        <w:rPr>
          <w:rFonts w:ascii="AdvTT3713a231" w:hAnsi="AdvTT3713a231"/>
          <w:color w:val="131413"/>
        </w:rPr>
        <w:t>Abstract</w:t>
      </w:r>
    </w:p>
    <w:p w:rsidR="00C565C3" w:rsidRPr="007D2D27" w:rsidRDefault="00C565C3" w:rsidP="00C565C3">
      <w:pPr>
        <w:spacing w:line="360" w:lineRule="auto"/>
        <w:jc w:val="both"/>
        <w:rPr>
          <w:rFonts w:ascii="AdvTT3713a231" w:hAnsi="AdvTT3713a231"/>
          <w:color w:val="FF0000"/>
        </w:rPr>
      </w:pPr>
      <w:r w:rsidRPr="00EB26DF">
        <w:rPr>
          <w:rFonts w:ascii="AdvTT3713a231" w:hAnsi="AdvTT3713a231"/>
          <w:color w:val="131413"/>
        </w:rPr>
        <w:t xml:space="preserve">A localized surface plasmon resonance (LSPR)-Aptasensor that based on an immobilized DNA aptamer is developed and used for the label-free </w:t>
      </w:r>
      <w:r>
        <w:rPr>
          <w:rFonts w:ascii="AdvTT3713a231" w:hAnsi="AdvTT3713a231"/>
          <w:color w:val="131413"/>
        </w:rPr>
        <w:t>of</w:t>
      </w:r>
      <w:r w:rsidRPr="00EB26DF">
        <w:rPr>
          <w:rFonts w:ascii="AdvTT3713a231" w:hAnsi="AdvTT3713a231"/>
          <w:color w:val="131413"/>
        </w:rPr>
        <w:t xml:space="preserve"> pathogenic bacteria detection. </w:t>
      </w:r>
      <w:r w:rsidRPr="009F28B3">
        <w:rPr>
          <w:rFonts w:ascii="AdvTT3713a231" w:hAnsi="AdvTT3713a231"/>
          <w:color w:val="131413"/>
        </w:rPr>
        <w:t xml:space="preserve">In this project, the </w:t>
      </w:r>
      <w:r>
        <w:rPr>
          <w:rFonts w:ascii="AdvTT3713a231" w:hAnsi="AdvTT3713a231"/>
          <w:color w:val="131413"/>
        </w:rPr>
        <w:t xml:space="preserve">role of LSPR element size in the </w:t>
      </w:r>
      <w:r w:rsidRPr="009F28B3">
        <w:rPr>
          <w:rFonts w:ascii="AdvTT3713a231" w:hAnsi="AdvTT3713a231"/>
          <w:color w:val="131413"/>
        </w:rPr>
        <w:t xml:space="preserve">bacteria detection process </w:t>
      </w:r>
      <w:proofErr w:type="gramStart"/>
      <w:r w:rsidRPr="009F28B3">
        <w:rPr>
          <w:rFonts w:ascii="AdvTT3713a231" w:hAnsi="AdvTT3713a231"/>
          <w:color w:val="131413"/>
        </w:rPr>
        <w:t>is addressed</w:t>
      </w:r>
      <w:proofErr w:type="gramEnd"/>
      <w:r w:rsidRPr="009F28B3">
        <w:rPr>
          <w:rFonts w:ascii="AdvTT3713a231" w:hAnsi="AdvTT3713a231"/>
          <w:color w:val="131413"/>
        </w:rPr>
        <w:t xml:space="preserve"> by integrating </w:t>
      </w:r>
      <w:r>
        <w:rPr>
          <w:rFonts w:ascii="AdvTT3713a231" w:hAnsi="AdvTT3713a231"/>
          <w:color w:val="131413"/>
        </w:rPr>
        <w:t xml:space="preserve">fabricating </w:t>
      </w:r>
      <w:r w:rsidRPr="009F28B3">
        <w:rPr>
          <w:rFonts w:ascii="AdvTT3713a231" w:hAnsi="AdvTT3713a231"/>
          <w:color w:val="131413"/>
        </w:rPr>
        <w:t xml:space="preserve">multiple </w:t>
      </w:r>
      <w:r>
        <w:rPr>
          <w:rFonts w:ascii="AdvTT3713a231" w:hAnsi="AdvTT3713a231"/>
          <w:color w:val="131413"/>
        </w:rPr>
        <w:t>different</w:t>
      </w:r>
      <w:r w:rsidRPr="009F28B3">
        <w:rPr>
          <w:rFonts w:ascii="AdvTT3713a231" w:hAnsi="AdvTT3713a231"/>
          <w:color w:val="131413"/>
        </w:rPr>
        <w:t xml:space="preserve"> </w:t>
      </w:r>
      <w:r>
        <w:rPr>
          <w:rFonts w:ascii="AdvTT3713a231" w:hAnsi="AdvTT3713a231"/>
          <w:color w:val="131413"/>
        </w:rPr>
        <w:t xml:space="preserve">sized </w:t>
      </w:r>
      <w:proofErr w:type="spellStart"/>
      <w:r>
        <w:rPr>
          <w:rFonts w:ascii="AdvTT3713a231" w:hAnsi="AdvTT3713a231"/>
          <w:color w:val="131413"/>
        </w:rPr>
        <w:t>nanosensors</w:t>
      </w:r>
      <w:proofErr w:type="spellEnd"/>
      <w:r>
        <w:rPr>
          <w:rFonts w:ascii="AdvTT3713a231" w:hAnsi="AdvTT3713a231"/>
          <w:color w:val="131413"/>
        </w:rPr>
        <w:t xml:space="preserve"> </w:t>
      </w:r>
      <w:proofErr w:type="spellStart"/>
      <w:r>
        <w:rPr>
          <w:rFonts w:ascii="AdvTT3713a231" w:hAnsi="AdvTT3713a231"/>
          <w:color w:val="131413"/>
        </w:rPr>
        <w:t>funtionalised</w:t>
      </w:r>
      <w:proofErr w:type="spellEnd"/>
      <w:r>
        <w:rPr>
          <w:rFonts w:ascii="AdvTT3713a231" w:hAnsi="AdvTT3713a231"/>
          <w:color w:val="131413"/>
        </w:rPr>
        <w:t xml:space="preserve"> with</w:t>
      </w:r>
      <w:r w:rsidRPr="009F28B3">
        <w:rPr>
          <w:rFonts w:ascii="AdvTT3713a231" w:hAnsi="AdvTT3713a231"/>
          <w:color w:val="131413"/>
        </w:rPr>
        <w:t xml:space="preserve"> DNA aptamer. </w:t>
      </w:r>
      <w:proofErr w:type="spellStart"/>
      <w:r>
        <w:rPr>
          <w:rFonts w:ascii="AdvTT3713a231" w:hAnsi="AdvTT3713a231"/>
          <w:color w:val="131413"/>
        </w:rPr>
        <w:t>Colorometric</w:t>
      </w:r>
      <w:proofErr w:type="spellEnd"/>
      <w:r>
        <w:rPr>
          <w:rFonts w:ascii="AdvTT3713a231" w:hAnsi="AdvTT3713a231"/>
          <w:color w:val="131413"/>
        </w:rPr>
        <w:t xml:space="preserve"> bacterial detection</w:t>
      </w:r>
      <w:r w:rsidRPr="009F28B3">
        <w:rPr>
          <w:rFonts w:ascii="AdvTT3713a231" w:hAnsi="AdvTT3713a231"/>
          <w:color w:val="131413"/>
        </w:rPr>
        <w:t xml:space="preserve"> </w:t>
      </w:r>
      <w:proofErr w:type="gramStart"/>
      <w:r w:rsidRPr="009F28B3">
        <w:rPr>
          <w:rFonts w:ascii="AdvTT3713a231" w:hAnsi="AdvTT3713a231"/>
          <w:color w:val="131413"/>
        </w:rPr>
        <w:t>w</w:t>
      </w:r>
      <w:r>
        <w:rPr>
          <w:rFonts w:ascii="AdvTT3713a231" w:hAnsi="AdvTT3713a231"/>
          <w:color w:val="131413"/>
        </w:rPr>
        <w:t>as compared</w:t>
      </w:r>
      <w:proofErr w:type="gramEnd"/>
      <w:r>
        <w:rPr>
          <w:rFonts w:ascii="AdvTT3713a231" w:hAnsi="AdvTT3713a231"/>
          <w:color w:val="131413"/>
        </w:rPr>
        <w:t xml:space="preserve"> at</w:t>
      </w:r>
      <w:r w:rsidRPr="009F28B3">
        <w:rPr>
          <w:rFonts w:ascii="AdvTT3713a231" w:hAnsi="AdvTT3713a231"/>
          <w:color w:val="131413"/>
        </w:rPr>
        <w:t xml:space="preserve"> gold nano</w:t>
      </w:r>
      <w:r>
        <w:rPr>
          <w:rFonts w:ascii="AdvTT3713a231" w:hAnsi="AdvTT3713a231"/>
          <w:color w:val="131413"/>
        </w:rPr>
        <w:t>disks of</w:t>
      </w:r>
      <w:r w:rsidRPr="009F28B3">
        <w:rPr>
          <w:rFonts w:ascii="AdvTT3713a231" w:hAnsi="AdvTT3713a231"/>
          <w:color w:val="131413"/>
        </w:rPr>
        <w:t xml:space="preserve"> 100</w:t>
      </w:r>
      <w:r>
        <w:rPr>
          <w:rFonts w:ascii="AdvTT3713a231" w:hAnsi="AdvTT3713a231"/>
          <w:color w:val="131413"/>
        </w:rPr>
        <w:t xml:space="preserve"> or</w:t>
      </w:r>
      <w:r w:rsidRPr="009F28B3">
        <w:rPr>
          <w:rFonts w:ascii="AdvTT3713a231" w:hAnsi="AdvTT3713a231"/>
          <w:color w:val="131413"/>
        </w:rPr>
        <w:t xml:space="preserve"> 200 nm </w:t>
      </w:r>
      <w:r>
        <w:rPr>
          <w:rFonts w:ascii="AdvTT3713a231" w:hAnsi="AdvTT3713a231"/>
          <w:color w:val="131413"/>
        </w:rPr>
        <w:t>diameter</w:t>
      </w:r>
      <w:r w:rsidRPr="009F28B3">
        <w:rPr>
          <w:rFonts w:ascii="AdvTT3713a231" w:hAnsi="AdvTT3713a231"/>
          <w:color w:val="131413"/>
        </w:rPr>
        <w:t>. The concept is to open up LSPR sensors for detecting the main four pathogen threating the food safety and causing food-poisoning outbreaks</w:t>
      </w:r>
      <w:proofErr w:type="gramStart"/>
      <w:r w:rsidRPr="009F28B3">
        <w:rPr>
          <w:rFonts w:ascii="AdvTT3713a231" w:hAnsi="AdvTT3713a231"/>
          <w:color w:val="131413"/>
        </w:rPr>
        <w:t>;</w:t>
      </w:r>
      <w:proofErr w:type="gramEnd"/>
      <w:r w:rsidRPr="009F28B3">
        <w:rPr>
          <w:rFonts w:ascii="AdvTT3713a231" w:hAnsi="AdvTT3713a231"/>
          <w:color w:val="131413"/>
        </w:rPr>
        <w:t xml:space="preserve"> </w:t>
      </w:r>
      <w:r w:rsidRPr="009F28B3">
        <w:rPr>
          <w:rFonts w:ascii="AdvTT3713a231" w:hAnsi="AdvTT3713a231"/>
          <w:i/>
          <w:color w:val="131413"/>
        </w:rPr>
        <w:t>Salmonella Typhimurium,   Staphylococcus aureus, Listeria Monocytogenes and E.coli.</w:t>
      </w:r>
    </w:p>
    <w:p w:rsidR="00C565C3" w:rsidRPr="00AB5FE0" w:rsidRDefault="00C565C3" w:rsidP="00C565C3">
      <w:pPr>
        <w:spacing w:line="360" w:lineRule="auto"/>
        <w:jc w:val="both"/>
        <w:rPr>
          <w:rFonts w:ascii="AdvTT3713a231" w:hAnsi="AdvTT3713a231"/>
          <w:color w:val="131413"/>
        </w:rPr>
      </w:pPr>
      <w:r w:rsidRPr="00EB26DF">
        <w:rPr>
          <w:color w:val="211D1E"/>
        </w:rPr>
        <w:t xml:space="preserve"> </w:t>
      </w:r>
      <w:r w:rsidRPr="00EB26DF">
        <w:rPr>
          <w:rFonts w:ascii="AdvTT3713a231" w:hAnsi="AdvTT3713a231"/>
          <w:color w:val="131413"/>
        </w:rPr>
        <w:t xml:space="preserve">The hole musk colloidal lithography (HMCL) has been used for </w:t>
      </w:r>
      <w:r>
        <w:rPr>
          <w:rFonts w:ascii="AdvTT3713a231" w:hAnsi="AdvTT3713a231"/>
          <w:color w:val="131413"/>
        </w:rPr>
        <w:t>the fabrication of short range ordered arrays of 100 or 200nm diameter (and 20nm high) Au nanodisks</w:t>
      </w:r>
      <w:r w:rsidRPr="00EB26DF">
        <w:rPr>
          <w:rFonts w:ascii="AdvTT3713a231" w:hAnsi="AdvTT3713a231"/>
          <w:color w:val="131413"/>
        </w:rPr>
        <w:t xml:space="preserve">. </w:t>
      </w:r>
      <w:r>
        <w:rPr>
          <w:rFonts w:ascii="AdvTT3713a231" w:hAnsi="AdvTT3713a231"/>
          <w:color w:val="131413"/>
        </w:rPr>
        <w:t xml:space="preserve"> A </w:t>
      </w:r>
      <w:r w:rsidRPr="00AB5FE0">
        <w:rPr>
          <w:rFonts w:ascii="AdvTT3713a231" w:hAnsi="AdvTT3713a231"/>
          <w:color w:val="131413"/>
        </w:rPr>
        <w:t xml:space="preserve">specific aptamer for S, aureus with </w:t>
      </w:r>
      <w:r>
        <w:rPr>
          <w:rFonts w:ascii="AdvTT3713a231" w:hAnsi="AdvTT3713a231"/>
          <w:color w:val="131413"/>
        </w:rPr>
        <w:t xml:space="preserve">a free </w:t>
      </w:r>
      <w:r w:rsidRPr="00AB5FE0">
        <w:rPr>
          <w:rFonts w:ascii="AdvTT3713a231" w:hAnsi="AdvTT3713a231"/>
          <w:color w:val="131413"/>
        </w:rPr>
        <w:t xml:space="preserve">thiol bond </w:t>
      </w:r>
      <w:proofErr w:type="gramStart"/>
      <w:r>
        <w:rPr>
          <w:rFonts w:ascii="AdvTT3713a231" w:hAnsi="AdvTT3713a231"/>
          <w:color w:val="131413"/>
        </w:rPr>
        <w:t>wa</w:t>
      </w:r>
      <w:r w:rsidRPr="00AB5FE0">
        <w:rPr>
          <w:rFonts w:ascii="AdvTT3713a231" w:hAnsi="AdvTT3713a231"/>
          <w:color w:val="131413"/>
        </w:rPr>
        <w:t>s immobilized</w:t>
      </w:r>
      <w:proofErr w:type="gramEnd"/>
      <w:r w:rsidRPr="00AB5FE0">
        <w:rPr>
          <w:rFonts w:ascii="AdvTT3713a231" w:hAnsi="AdvTT3713a231"/>
          <w:color w:val="131413"/>
        </w:rPr>
        <w:t xml:space="preserve"> to the gold nanodisks in different concentrations </w:t>
      </w:r>
      <w:r>
        <w:rPr>
          <w:rFonts w:ascii="AdvTT3713a231" w:hAnsi="AdvTT3713a231"/>
          <w:color w:val="131413"/>
        </w:rPr>
        <w:t>(</w:t>
      </w:r>
      <w:r w:rsidRPr="00AB5FE0">
        <w:rPr>
          <w:rFonts w:ascii="AdvTT3713a231" w:hAnsi="AdvTT3713a231"/>
          <w:color w:val="131413"/>
        </w:rPr>
        <w:t xml:space="preserve">10 </w:t>
      </w:r>
      <w:r>
        <w:rPr>
          <w:rFonts w:ascii="AdvTT3713a231" w:hAnsi="AdvTT3713a231"/>
          <w:color w:val="131413"/>
        </w:rPr>
        <w:t>or</w:t>
      </w:r>
      <w:r w:rsidRPr="00AB5FE0">
        <w:rPr>
          <w:rFonts w:ascii="AdvTT3713a231" w:hAnsi="AdvTT3713a231"/>
          <w:color w:val="131413"/>
        </w:rPr>
        <w:t xml:space="preserve"> 20 µM</w:t>
      </w:r>
      <w:r>
        <w:rPr>
          <w:rFonts w:ascii="AdvTT3713a231" w:hAnsi="AdvTT3713a231"/>
          <w:color w:val="131413"/>
        </w:rPr>
        <w:t>)</w:t>
      </w:r>
      <w:r w:rsidRPr="00AB5FE0">
        <w:rPr>
          <w:rFonts w:ascii="AdvTT3713a231" w:hAnsi="AdvTT3713a231"/>
          <w:color w:val="131413"/>
        </w:rPr>
        <w:t>.</w:t>
      </w:r>
      <w:r>
        <w:rPr>
          <w:rFonts w:ascii="AdvTT3713a231" w:hAnsi="AdvTT3713a231"/>
          <w:color w:val="131413"/>
        </w:rPr>
        <w:t xml:space="preserve"> Changes in local refractive index around the nanodisks after bacterial capture (from  </w:t>
      </w:r>
      <w:r w:rsidRPr="00EB26DF">
        <w:rPr>
          <w:rFonts w:ascii="AdvTT3713a231" w:hAnsi="AdvTT3713a231"/>
          <w:color w:val="131413"/>
        </w:rPr>
        <w:t>approximately 10</w:t>
      </w:r>
      <w:r w:rsidRPr="00EB26DF">
        <w:rPr>
          <w:rFonts w:ascii="AdvTT3713a231" w:hAnsi="AdvTT3713a231"/>
          <w:color w:val="131413"/>
          <w:vertAlign w:val="superscript"/>
        </w:rPr>
        <w:t xml:space="preserve">6  </w:t>
      </w:r>
      <w:r w:rsidRPr="00EB26DF">
        <w:rPr>
          <w:rFonts w:ascii="AdvTT3713a231" w:hAnsi="AdvTT3713a231"/>
          <w:color w:val="131413"/>
        </w:rPr>
        <w:t>cfu/ml</w:t>
      </w:r>
      <w:r>
        <w:rPr>
          <w:rFonts w:ascii="AdvTT3713a231" w:hAnsi="AdvTT3713a231"/>
          <w:color w:val="131413"/>
        </w:rPr>
        <w:t xml:space="preserve"> after 30 or 60 minutes)  showed significantly larger resonant wavelength shifts for 200nm nanodisks (~4.33nm) compared to 100nm (~0.31nm). The larger signal was a combination of higher bulk refractive index sensitivity of the longer wavelength resonance of the larger </w:t>
      </w:r>
      <w:proofErr w:type="spellStart"/>
      <w:r>
        <w:rPr>
          <w:rFonts w:ascii="AdvTT3713a231" w:hAnsi="AdvTT3713a231"/>
          <w:color w:val="131413"/>
        </w:rPr>
        <w:t>nanodisk</w:t>
      </w:r>
      <w:proofErr w:type="spellEnd"/>
      <w:r>
        <w:rPr>
          <w:rFonts w:ascii="AdvTT3713a231" w:hAnsi="AdvTT3713a231"/>
          <w:color w:val="131413"/>
        </w:rPr>
        <w:t xml:space="preserve"> and a more extended sensitive region.</w:t>
      </w:r>
    </w:p>
    <w:p w:rsidR="00C565C3" w:rsidRDefault="00C565C3" w:rsidP="00C565C3"/>
    <w:p w:rsidR="00E82905" w:rsidRDefault="00E82905">
      <w:bookmarkStart w:id="0" w:name="_GoBack"/>
      <w:bookmarkEnd w:id="0"/>
    </w:p>
    <w:sectPr w:rsidR="00E829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3713a231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5C3"/>
    <w:rsid w:val="00C565C3"/>
    <w:rsid w:val="00E8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78B54-8AD3-4DE2-9B27-22974AA9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>Aarhus University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 Khateb</dc:creator>
  <cp:keywords/>
  <dc:description/>
  <cp:lastModifiedBy>Heba Khateb</cp:lastModifiedBy>
  <cp:revision>1</cp:revision>
  <dcterms:created xsi:type="dcterms:W3CDTF">2018-07-05T08:42:00Z</dcterms:created>
  <dcterms:modified xsi:type="dcterms:W3CDTF">2018-07-05T08:43:00Z</dcterms:modified>
</cp:coreProperties>
</file>