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CA8EA7" w14:textId="77777777" w:rsidR="003C0794" w:rsidRDefault="003C0794">
      <w:pPr>
        <w:pStyle w:val="Author"/>
        <w:rPr>
          <w:rFonts w:eastAsia="MS Mincho"/>
          <w:sz w:val="18"/>
          <w:szCs w:val="18"/>
        </w:rPr>
      </w:pPr>
    </w:p>
    <w:p w14:paraId="1ACF7FBA" w14:textId="77777777" w:rsidR="0005164C" w:rsidRPr="0005164C" w:rsidRDefault="0005164C">
      <w:pPr>
        <w:pStyle w:val="Author"/>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14:paraId="2563BAFE" w14:textId="7D38A5DF" w:rsidR="003C0794" w:rsidRPr="009D49B8" w:rsidRDefault="003C0794" w:rsidP="00124679">
      <w:pPr>
        <w:jc w:val="both"/>
        <w:rPr>
          <w:rFonts w:eastAsia="MS PGothic"/>
          <w:b/>
          <w:color w:val="000000"/>
          <w:sz w:val="22"/>
          <w:szCs w:val="22"/>
        </w:rPr>
      </w:pPr>
      <w:r w:rsidRPr="009D49B8">
        <w:rPr>
          <w:rFonts w:eastAsia="MS PGothic"/>
          <w:b/>
          <w:color w:val="000000"/>
          <w:sz w:val="22"/>
          <w:szCs w:val="22"/>
        </w:rPr>
        <w:t xml:space="preserve">Title: </w:t>
      </w:r>
      <w:r w:rsidR="00124679">
        <w:rPr>
          <w:rFonts w:eastAsia="MS PGothic"/>
          <w:b/>
          <w:color w:val="000000"/>
          <w:sz w:val="22"/>
          <w:szCs w:val="22"/>
        </w:rPr>
        <w:t>Towards the development of a combined pH, oxygen, and cortisol implantable sensor using electrochemistry techniques</w:t>
      </w:r>
    </w:p>
    <w:p w14:paraId="7E09737E" w14:textId="77777777" w:rsidR="0005164C" w:rsidRPr="009D49B8" w:rsidRDefault="0005164C" w:rsidP="003C0794">
      <w:pPr>
        <w:jc w:val="both"/>
        <w:rPr>
          <w:rFonts w:eastAsia="MS PGothic"/>
          <w:color w:val="000000"/>
          <w:sz w:val="22"/>
          <w:szCs w:val="22"/>
        </w:rPr>
      </w:pPr>
    </w:p>
    <w:p w14:paraId="4BA0A514" w14:textId="42817731" w:rsidR="003C0794" w:rsidRPr="003C0794" w:rsidRDefault="00964228" w:rsidP="003C0794">
      <w:pPr>
        <w:shd w:val="clear" w:color="auto" w:fill="FFFFFF"/>
        <w:spacing w:after="150"/>
        <w:jc w:val="both"/>
        <w:rPr>
          <w:sz w:val="19"/>
          <w:szCs w:val="19"/>
          <w:lang w:val="en-IN" w:eastAsia="en-IN"/>
        </w:rPr>
      </w:pPr>
      <w:r>
        <w:rPr>
          <w:b/>
          <w:bCs/>
          <w:sz w:val="19"/>
          <w:szCs w:val="19"/>
          <w:lang w:val="en-IN" w:eastAsia="en-IN"/>
        </w:rPr>
        <w:t>MADHAVAN M</w:t>
      </w:r>
      <w:r w:rsidR="003C0794" w:rsidRPr="0005164C">
        <w:rPr>
          <w:b/>
          <w:bCs/>
          <w:sz w:val="19"/>
          <w:szCs w:val="19"/>
          <w:vertAlign w:val="superscript"/>
          <w:lang w:val="en-IN" w:eastAsia="en-IN"/>
        </w:rPr>
        <w:t>1</w:t>
      </w:r>
      <w:r w:rsidR="003C0794" w:rsidRPr="0005164C">
        <w:rPr>
          <w:b/>
          <w:bCs/>
          <w:sz w:val="19"/>
          <w:szCs w:val="19"/>
          <w:lang w:val="en-IN" w:eastAsia="en-IN"/>
        </w:rPr>
        <w:t xml:space="preserve">, </w:t>
      </w:r>
      <w:r w:rsidR="00E918C4">
        <w:rPr>
          <w:b/>
          <w:bCs/>
          <w:sz w:val="19"/>
          <w:szCs w:val="19"/>
          <w:lang w:val="en-IN" w:eastAsia="en-IN"/>
        </w:rPr>
        <w:t xml:space="preserve"> </w:t>
      </w:r>
      <w:r w:rsidR="006271BB">
        <w:rPr>
          <w:b/>
          <w:bCs/>
          <w:sz w:val="19"/>
          <w:szCs w:val="19"/>
          <w:lang w:val="en-IN" w:eastAsia="en-IN"/>
        </w:rPr>
        <w:t>ANASTASOVA-IVANOVA</w:t>
      </w:r>
      <w:r w:rsidR="003C0794" w:rsidRPr="0005164C">
        <w:rPr>
          <w:b/>
          <w:bCs/>
          <w:sz w:val="19"/>
          <w:szCs w:val="19"/>
          <w:lang w:val="en-IN" w:eastAsia="en-IN"/>
        </w:rPr>
        <w:t xml:space="preserve"> </w:t>
      </w:r>
      <w:r w:rsidR="009D49B8">
        <w:rPr>
          <w:b/>
          <w:bCs/>
          <w:sz w:val="19"/>
          <w:szCs w:val="19"/>
          <w:lang w:val="en-IN" w:eastAsia="en-IN"/>
        </w:rPr>
        <w:t xml:space="preserve"> </w:t>
      </w:r>
      <w:r w:rsidR="003C0794" w:rsidRPr="0005164C">
        <w:rPr>
          <w:b/>
          <w:bCs/>
          <w:sz w:val="19"/>
          <w:szCs w:val="19"/>
          <w:lang w:val="en-IN" w:eastAsia="en-IN"/>
        </w:rPr>
        <w:t>S</w:t>
      </w:r>
      <w:hyperlink r:id="rId5" w:anchor="a1" w:history="1">
        <w:r w:rsidR="003C0794" w:rsidRPr="0005164C">
          <w:rPr>
            <w:b/>
            <w:bCs/>
            <w:sz w:val="19"/>
            <w:szCs w:val="19"/>
            <w:vertAlign w:val="superscript"/>
            <w:lang w:val="en-IN" w:eastAsia="en-IN"/>
          </w:rPr>
          <w:t>1</w:t>
        </w:r>
      </w:hyperlink>
      <w:r w:rsidR="003C0794" w:rsidRPr="0005164C">
        <w:rPr>
          <w:b/>
          <w:bCs/>
          <w:sz w:val="19"/>
          <w:szCs w:val="19"/>
          <w:lang w:val="en-IN" w:eastAsia="en-IN"/>
        </w:rPr>
        <w:t xml:space="preserve">, </w:t>
      </w:r>
      <w:r w:rsidR="00E918C4">
        <w:rPr>
          <w:b/>
          <w:bCs/>
          <w:sz w:val="19"/>
          <w:szCs w:val="19"/>
          <w:lang w:val="en-IN" w:eastAsia="en-IN"/>
        </w:rPr>
        <w:t xml:space="preserve"> </w:t>
      </w:r>
      <w:r w:rsidR="006271BB">
        <w:rPr>
          <w:b/>
          <w:bCs/>
          <w:sz w:val="19"/>
          <w:szCs w:val="19"/>
          <w:lang w:val="en-IN" w:eastAsia="en-IN"/>
        </w:rPr>
        <w:t>ELSON</w:t>
      </w:r>
      <w:r w:rsidR="003C0794" w:rsidRPr="0005164C">
        <w:rPr>
          <w:b/>
          <w:bCs/>
          <w:sz w:val="19"/>
          <w:szCs w:val="19"/>
          <w:lang w:val="en-IN" w:eastAsia="en-IN"/>
        </w:rPr>
        <w:t xml:space="preserve"> D</w:t>
      </w:r>
      <w:r w:rsidR="003C0794" w:rsidRPr="0005164C">
        <w:rPr>
          <w:b/>
          <w:bCs/>
          <w:sz w:val="19"/>
          <w:szCs w:val="19"/>
          <w:vertAlign w:val="superscript"/>
          <w:lang w:val="en-IN" w:eastAsia="en-IN"/>
        </w:rPr>
        <w:t>1</w:t>
      </w:r>
      <w:r w:rsidR="003C0794" w:rsidRPr="0005164C">
        <w:rPr>
          <w:b/>
          <w:bCs/>
          <w:sz w:val="19"/>
          <w:szCs w:val="19"/>
          <w:lang w:val="en-IN" w:eastAsia="en-IN"/>
        </w:rPr>
        <w:t xml:space="preserve">, </w:t>
      </w:r>
    </w:p>
    <w:p w14:paraId="61F528B8" w14:textId="328ECB85" w:rsidR="003C0794" w:rsidRPr="00351E9B" w:rsidRDefault="003C0794" w:rsidP="006D7DD2">
      <w:pPr>
        <w:shd w:val="clear" w:color="auto" w:fill="FFFFFF"/>
        <w:jc w:val="both"/>
        <w:rPr>
          <w:sz w:val="19"/>
          <w:szCs w:val="19"/>
          <w:lang w:val="en-IN" w:eastAsia="en-IN"/>
        </w:rPr>
      </w:pPr>
      <w:r w:rsidRPr="00351E9B">
        <w:rPr>
          <w:sz w:val="19"/>
          <w:szCs w:val="19"/>
          <w:vertAlign w:val="superscript"/>
          <w:lang w:val="en-IN" w:eastAsia="en-IN"/>
        </w:rPr>
        <w:t>1</w:t>
      </w:r>
      <w:bookmarkStart w:id="0" w:name="a1"/>
      <w:bookmarkEnd w:id="0"/>
      <w:r w:rsidR="006D7DD2">
        <w:rPr>
          <w:sz w:val="19"/>
          <w:szCs w:val="19"/>
          <w:lang w:val="en-IN" w:eastAsia="en-IN"/>
        </w:rPr>
        <w:t>Hamlyn Centre</w:t>
      </w:r>
      <w:r w:rsidR="009D49B8" w:rsidRPr="00351E9B">
        <w:rPr>
          <w:sz w:val="19"/>
          <w:szCs w:val="19"/>
          <w:lang w:val="en-IN" w:eastAsia="en-IN"/>
        </w:rPr>
        <w:t xml:space="preserve">, </w:t>
      </w:r>
      <w:r w:rsidR="006D7DD2">
        <w:rPr>
          <w:sz w:val="19"/>
          <w:szCs w:val="19"/>
          <w:lang w:val="en-IN" w:eastAsia="en-IN"/>
        </w:rPr>
        <w:t>Imperial College London</w:t>
      </w:r>
      <w:r w:rsidRPr="00351E9B">
        <w:rPr>
          <w:sz w:val="19"/>
          <w:szCs w:val="19"/>
          <w:lang w:val="en-IN" w:eastAsia="en-IN"/>
        </w:rPr>
        <w:t xml:space="preserve">, </w:t>
      </w:r>
      <w:r w:rsidR="006D7DD2">
        <w:rPr>
          <w:sz w:val="19"/>
          <w:szCs w:val="19"/>
          <w:lang w:val="en-IN" w:eastAsia="en-IN"/>
        </w:rPr>
        <w:t>London</w:t>
      </w:r>
      <w:r w:rsidR="009D49B8" w:rsidRPr="00351E9B">
        <w:rPr>
          <w:sz w:val="19"/>
          <w:szCs w:val="19"/>
          <w:lang w:val="en-IN" w:eastAsia="en-IN"/>
        </w:rPr>
        <w:t xml:space="preserve">, </w:t>
      </w:r>
      <w:r w:rsidR="006D7DD2">
        <w:rPr>
          <w:sz w:val="19"/>
          <w:szCs w:val="19"/>
          <w:lang w:val="en-IN" w:eastAsia="en-IN"/>
        </w:rPr>
        <w:t>United Kingdom</w:t>
      </w:r>
    </w:p>
    <w:p w14:paraId="1527F7FC" w14:textId="77777777" w:rsidR="008A55B5" w:rsidRPr="00351E9B" w:rsidRDefault="008A55B5">
      <w:pPr>
        <w:rPr>
          <w:rFonts w:eastAsia="MS Mincho"/>
          <w:sz w:val="19"/>
          <w:szCs w:val="19"/>
        </w:rPr>
      </w:pPr>
    </w:p>
    <w:p w14:paraId="3961298E" w14:textId="77777777" w:rsidR="00861508" w:rsidRPr="0005164C" w:rsidRDefault="00861508">
      <w:pPr>
        <w:rPr>
          <w:rFonts w:eastAsia="MS Mincho"/>
          <w:sz w:val="19"/>
          <w:szCs w:val="19"/>
        </w:rPr>
      </w:pPr>
    </w:p>
    <w:p w14:paraId="5F841077" w14:textId="77777777" w:rsidR="00812538" w:rsidRDefault="00812538" w:rsidP="00812538">
      <w:pPr>
        <w:jc w:val="both"/>
        <w:rPr>
          <w:rFonts w:eastAsia="MS Mincho"/>
          <w:sz w:val="19"/>
          <w:szCs w:val="19"/>
        </w:rPr>
      </w:pPr>
    </w:p>
    <w:p w14:paraId="687883F0" w14:textId="77777777"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14:paraId="726A7ECD" w14:textId="28EC4CDD" w:rsidR="003C0794" w:rsidRPr="0005164C" w:rsidRDefault="009D49B8" w:rsidP="003C0794">
      <w:pPr>
        <w:pStyle w:val="keywords"/>
        <w:ind w:firstLine="0"/>
        <w:rPr>
          <w:bCs w:val="0"/>
          <w:i w:val="0"/>
          <w:iCs w:val="0"/>
          <w:noProof w:val="0"/>
          <w:sz w:val="19"/>
          <w:szCs w:val="19"/>
          <w:lang w:val="en-IN" w:eastAsia="en-IN"/>
        </w:rPr>
      </w:pPr>
      <w:r>
        <w:rPr>
          <w:bCs w:val="0"/>
          <w:i w:val="0"/>
          <w:iCs w:val="0"/>
          <w:noProof w:val="0"/>
          <w:sz w:val="19"/>
          <w:szCs w:val="19"/>
          <w:lang w:val="en-IN" w:eastAsia="en-IN"/>
        </w:rPr>
        <w:t xml:space="preserve">Keywords: </w:t>
      </w:r>
      <w:r w:rsidR="00964228">
        <w:rPr>
          <w:bCs w:val="0"/>
          <w:i w:val="0"/>
          <w:iCs w:val="0"/>
          <w:noProof w:val="0"/>
          <w:sz w:val="19"/>
          <w:szCs w:val="19"/>
          <w:lang w:val="en-IN" w:eastAsia="en-IN"/>
        </w:rPr>
        <w:t>pH</w:t>
      </w:r>
      <w:r>
        <w:rPr>
          <w:bCs w:val="0"/>
          <w:i w:val="0"/>
          <w:iCs w:val="0"/>
          <w:noProof w:val="0"/>
          <w:sz w:val="19"/>
          <w:szCs w:val="19"/>
          <w:lang w:val="en-IN" w:eastAsia="en-IN"/>
        </w:rPr>
        <w:t xml:space="preserve">, </w:t>
      </w:r>
      <w:r w:rsidR="00964228">
        <w:rPr>
          <w:bCs w:val="0"/>
          <w:i w:val="0"/>
          <w:iCs w:val="0"/>
          <w:noProof w:val="0"/>
          <w:sz w:val="19"/>
          <w:szCs w:val="19"/>
          <w:lang w:val="en-IN" w:eastAsia="en-IN"/>
        </w:rPr>
        <w:t>cortisol</w:t>
      </w:r>
      <w:r>
        <w:rPr>
          <w:bCs w:val="0"/>
          <w:i w:val="0"/>
          <w:iCs w:val="0"/>
          <w:noProof w:val="0"/>
          <w:sz w:val="19"/>
          <w:szCs w:val="19"/>
          <w:lang w:val="en-IN" w:eastAsia="en-IN"/>
        </w:rPr>
        <w:t xml:space="preserve">, </w:t>
      </w:r>
      <w:r w:rsidR="00964228">
        <w:rPr>
          <w:bCs w:val="0"/>
          <w:i w:val="0"/>
          <w:iCs w:val="0"/>
          <w:noProof w:val="0"/>
          <w:sz w:val="19"/>
          <w:szCs w:val="19"/>
          <w:lang w:val="en-IN" w:eastAsia="en-IN"/>
        </w:rPr>
        <w:t>oxygen</w:t>
      </w:r>
      <w:r>
        <w:rPr>
          <w:bCs w:val="0"/>
          <w:i w:val="0"/>
          <w:iCs w:val="0"/>
          <w:noProof w:val="0"/>
          <w:sz w:val="19"/>
          <w:szCs w:val="19"/>
          <w:lang w:val="en-IN" w:eastAsia="en-IN"/>
        </w:rPr>
        <w:t xml:space="preserve">, </w:t>
      </w:r>
      <w:r w:rsidR="006D7DD2">
        <w:rPr>
          <w:bCs w:val="0"/>
          <w:i w:val="0"/>
          <w:iCs w:val="0"/>
          <w:noProof w:val="0"/>
          <w:sz w:val="19"/>
          <w:szCs w:val="19"/>
          <w:lang w:val="en-IN" w:eastAsia="en-IN"/>
        </w:rPr>
        <w:t>electrochemical sensors</w:t>
      </w:r>
      <w:r>
        <w:rPr>
          <w:bCs w:val="0"/>
          <w:i w:val="0"/>
          <w:iCs w:val="0"/>
          <w:noProof w:val="0"/>
          <w:sz w:val="19"/>
          <w:szCs w:val="19"/>
          <w:lang w:val="en-IN" w:eastAsia="en-IN"/>
        </w:rPr>
        <w:t>,</w:t>
      </w:r>
      <w:r w:rsidRPr="009D49B8">
        <w:rPr>
          <w:bCs w:val="0"/>
          <w:i w:val="0"/>
          <w:iCs w:val="0"/>
          <w:noProof w:val="0"/>
          <w:sz w:val="19"/>
          <w:szCs w:val="19"/>
          <w:lang w:val="en-IN" w:eastAsia="en-IN"/>
        </w:rPr>
        <w:t xml:space="preserve"> </w:t>
      </w:r>
      <w:r w:rsidR="006D7DD2">
        <w:rPr>
          <w:bCs w:val="0"/>
          <w:i w:val="0"/>
          <w:iCs w:val="0"/>
          <w:noProof w:val="0"/>
          <w:sz w:val="19"/>
          <w:szCs w:val="19"/>
          <w:lang w:val="en-IN" w:eastAsia="en-IN"/>
        </w:rPr>
        <w:t>implantable sensor</w:t>
      </w:r>
    </w:p>
    <w:p w14:paraId="7A8F7EE6" w14:textId="77777777" w:rsidR="003C0794" w:rsidRPr="0005164C" w:rsidRDefault="003C0794" w:rsidP="003C0794">
      <w:pPr>
        <w:pStyle w:val="keywords"/>
        <w:ind w:firstLine="0"/>
        <w:rPr>
          <w:b w:val="0"/>
          <w:bCs w:val="0"/>
          <w:i w:val="0"/>
          <w:iCs w:val="0"/>
          <w:noProof w:val="0"/>
          <w:sz w:val="19"/>
          <w:szCs w:val="19"/>
          <w:lang w:val="en-IN" w:eastAsia="en-IN"/>
        </w:rPr>
      </w:pPr>
    </w:p>
    <w:p w14:paraId="6E042447" w14:textId="77777777" w:rsidR="008A55B5" w:rsidRPr="0005164C" w:rsidRDefault="003C0794" w:rsidP="00861508">
      <w:pPr>
        <w:pStyle w:val="keywords"/>
        <w:numPr>
          <w:ilvl w:val="0"/>
          <w:numId w:val="22"/>
        </w:numPr>
        <w:rPr>
          <w:bCs w:val="0"/>
          <w:i w:val="0"/>
          <w:iCs w:val="0"/>
          <w:noProof w:val="0"/>
          <w:sz w:val="19"/>
          <w:szCs w:val="19"/>
          <w:lang w:val="en-IN" w:eastAsia="en-IN"/>
        </w:rPr>
      </w:pPr>
      <w:r w:rsidRPr="0005164C">
        <w:rPr>
          <w:bCs w:val="0"/>
          <w:i w:val="0"/>
          <w:iCs w:val="0"/>
          <w:noProof w:val="0"/>
          <w:sz w:val="19"/>
          <w:szCs w:val="19"/>
          <w:lang w:val="en-IN" w:eastAsia="en-IN"/>
        </w:rPr>
        <w:t>Abstract Body</w:t>
      </w:r>
      <w:r w:rsidR="00861508" w:rsidRPr="0005164C">
        <w:rPr>
          <w:bCs w:val="0"/>
          <w:i w:val="0"/>
          <w:iCs w:val="0"/>
          <w:noProof w:val="0"/>
          <w:sz w:val="19"/>
          <w:szCs w:val="19"/>
          <w:lang w:val="en-IN" w:eastAsia="en-IN"/>
        </w:rPr>
        <w:t xml:space="preserve"> (up to 250 words)</w:t>
      </w:r>
    </w:p>
    <w:p w14:paraId="6636A591" w14:textId="77777777" w:rsidR="00090975" w:rsidRPr="00090975" w:rsidRDefault="00090975" w:rsidP="00090975">
      <w:pPr>
        <w:jc w:val="both"/>
        <w:rPr>
          <w:sz w:val="19"/>
          <w:szCs w:val="19"/>
        </w:rPr>
      </w:pPr>
      <w:r w:rsidRPr="00090975">
        <w:rPr>
          <w:sz w:val="19"/>
          <w:szCs w:val="19"/>
        </w:rPr>
        <w:t xml:space="preserve">This study focuses on the development of an implantable biosensor that detects pH, oxygen, and cortisol levels. Oxygen and pH levels are both associated with cancer, and cortisol is associated with increased stress and a litany of related conditions. Polymer </w:t>
      </w:r>
      <w:proofErr w:type="spellStart"/>
      <w:r w:rsidRPr="00090975">
        <w:rPr>
          <w:sz w:val="19"/>
          <w:szCs w:val="19"/>
        </w:rPr>
        <w:t>fibres</w:t>
      </w:r>
      <w:proofErr w:type="spellEnd"/>
      <w:r w:rsidRPr="00090975">
        <w:rPr>
          <w:sz w:val="19"/>
          <w:szCs w:val="19"/>
        </w:rPr>
        <w:t xml:space="preserve">, which have shown resistance to biofouling, were tested as a platform for pH and cortisol sensors, and a semi-implantable needle-based platform was used for oxygen sensor testing. Electrochemical sensing techniques were used for both fabrication of sensors, using cyclic voltammetry and chronopotentiometry, and testing of sensors, using open potentiometry (pH sensor), amperometry (oxygen sensor), and cyclic voltammetry (cortisol sensor). Two pH sensors were tested, one with the </w:t>
      </w:r>
      <w:proofErr w:type="spellStart"/>
      <w:r w:rsidRPr="00090975">
        <w:rPr>
          <w:sz w:val="19"/>
          <w:szCs w:val="19"/>
        </w:rPr>
        <w:t>IrOx</w:t>
      </w:r>
      <w:proofErr w:type="spellEnd"/>
      <w:r w:rsidRPr="00090975">
        <w:rPr>
          <w:sz w:val="19"/>
          <w:szCs w:val="19"/>
        </w:rPr>
        <w:t xml:space="preserve"> pH sensing layer, and another with </w:t>
      </w:r>
      <w:proofErr w:type="spellStart"/>
      <w:r w:rsidRPr="00090975">
        <w:rPr>
          <w:sz w:val="19"/>
          <w:szCs w:val="19"/>
        </w:rPr>
        <w:t>IrOx</w:t>
      </w:r>
      <w:proofErr w:type="spellEnd"/>
      <w:r w:rsidRPr="00090975">
        <w:rPr>
          <w:sz w:val="19"/>
          <w:szCs w:val="19"/>
        </w:rPr>
        <w:t xml:space="preserve"> pH sensing layer and intermediate and anti-biofouling layers of EDOT. pH sensing was conducted in a series of buffer solutions, while oxygen sensing was conducted in solutions of hydrogen peroxide in phosphate-buffered saline, and cortisol sensing was conducted in solutions of hydrocortisone in PBS. The sensor with EDOT yielded a lower sensitivity (</w:t>
      </w:r>
      <w:r w:rsidRPr="00090975">
        <w:rPr>
          <w:rFonts w:cs="Calibri"/>
          <w:sz w:val="19"/>
          <w:szCs w:val="19"/>
        </w:rPr>
        <w:t>-76.56mV/pH unit</w:t>
      </w:r>
      <w:r w:rsidRPr="00090975">
        <w:rPr>
          <w:sz w:val="19"/>
          <w:szCs w:val="19"/>
        </w:rPr>
        <w:t>) and lower limit of detection (0.60pH units) than the sensor without EDOT (sensitivity=-51.07mV/pH units, LOD=0.92pH units), and the results of the sensor with EDOT more quickly stabilized into the target flat-line results than the results of the sensor without EDOT. The oxygen sensor tests indicated a sensitivity of (</w:t>
      </w:r>
      <w:r w:rsidRPr="00090975">
        <w:rPr>
          <w:rFonts w:cs="Calibri"/>
          <w:sz w:val="19"/>
          <w:szCs w:val="19"/>
        </w:rPr>
        <w:t>5.171pA/1mM H</w:t>
      </w:r>
      <w:r w:rsidRPr="00090975">
        <w:rPr>
          <w:rFonts w:cs="Calibri"/>
          <w:sz w:val="19"/>
          <w:szCs w:val="19"/>
          <w:vertAlign w:val="subscript"/>
        </w:rPr>
        <w:t>2</w:t>
      </w:r>
      <w:r w:rsidRPr="00090975">
        <w:rPr>
          <w:rFonts w:cs="Calibri"/>
          <w:sz w:val="19"/>
          <w:szCs w:val="19"/>
        </w:rPr>
        <w:t>O</w:t>
      </w:r>
      <w:r w:rsidRPr="00090975">
        <w:rPr>
          <w:rFonts w:cs="Calibri"/>
          <w:sz w:val="19"/>
          <w:szCs w:val="19"/>
          <w:vertAlign w:val="subscript"/>
        </w:rPr>
        <w:t>2</w:t>
      </w:r>
      <w:r w:rsidRPr="00090975">
        <w:rPr>
          <w:sz w:val="19"/>
          <w:szCs w:val="19"/>
        </w:rPr>
        <w:t>) and an LOD of (</w:t>
      </w:r>
      <w:r w:rsidRPr="00090975">
        <w:rPr>
          <w:rFonts w:cs="Calibri"/>
          <w:sz w:val="19"/>
          <w:szCs w:val="19"/>
        </w:rPr>
        <w:t>0.0513mM H</w:t>
      </w:r>
      <w:r w:rsidRPr="00090975">
        <w:rPr>
          <w:rFonts w:cs="Calibri"/>
          <w:sz w:val="19"/>
          <w:szCs w:val="19"/>
          <w:vertAlign w:val="subscript"/>
        </w:rPr>
        <w:t>2</w:t>
      </w:r>
      <w:r w:rsidRPr="00090975">
        <w:rPr>
          <w:rFonts w:cs="Calibri"/>
          <w:sz w:val="19"/>
          <w:szCs w:val="19"/>
        </w:rPr>
        <w:t>O</w:t>
      </w:r>
      <w:r w:rsidRPr="00090975">
        <w:rPr>
          <w:rFonts w:cs="Calibri"/>
          <w:sz w:val="19"/>
          <w:szCs w:val="19"/>
          <w:vertAlign w:val="subscript"/>
        </w:rPr>
        <w:t>2</w:t>
      </w:r>
      <w:r w:rsidRPr="00090975">
        <w:rPr>
          <w:sz w:val="19"/>
          <w:szCs w:val="19"/>
        </w:rPr>
        <w:t>), and the cortisol sensor yielded a sensitivity of (</w:t>
      </w:r>
      <w:r w:rsidRPr="00090975">
        <w:rPr>
          <w:rFonts w:cs="Calibri"/>
          <w:sz w:val="19"/>
          <w:szCs w:val="19"/>
        </w:rPr>
        <w:t>24.25pA per 1ng/mL hydrocortisone</w:t>
      </w:r>
      <w:r w:rsidRPr="00090975">
        <w:rPr>
          <w:sz w:val="19"/>
          <w:szCs w:val="19"/>
        </w:rPr>
        <w:t>) and an LOD of (</w:t>
      </w:r>
      <w:r w:rsidRPr="00090975">
        <w:rPr>
          <w:rFonts w:cs="Calibri"/>
          <w:sz w:val="19"/>
          <w:szCs w:val="19"/>
        </w:rPr>
        <w:t>0.1104 ng/mL hydrocortisone</w:t>
      </w:r>
      <w:r w:rsidRPr="00090975">
        <w:rPr>
          <w:sz w:val="19"/>
          <w:szCs w:val="19"/>
        </w:rPr>
        <w:t>).</w:t>
      </w:r>
    </w:p>
    <w:p w14:paraId="12B288CC" w14:textId="77777777" w:rsidR="00090975" w:rsidRDefault="00090975" w:rsidP="00883A50">
      <w:pPr>
        <w:jc w:val="both"/>
        <w:rPr>
          <w:sz w:val="19"/>
          <w:szCs w:val="19"/>
          <w:lang w:val="en-IN" w:eastAsia="en-IN"/>
        </w:rPr>
      </w:pPr>
    </w:p>
    <w:p w14:paraId="40FD8151" w14:textId="77777777" w:rsidR="00883A50" w:rsidRDefault="00883A50" w:rsidP="00883A50">
      <w:pPr>
        <w:jc w:val="both"/>
        <w:rPr>
          <w:sz w:val="19"/>
          <w:szCs w:val="19"/>
          <w:lang w:val="en-IN" w:eastAsia="en-IN"/>
        </w:rPr>
      </w:pPr>
    </w:p>
    <w:p w14:paraId="5856C535" w14:textId="77777777" w:rsidR="00861508" w:rsidRPr="0005164C" w:rsidRDefault="00883A50" w:rsidP="00883A50">
      <w:pPr>
        <w:numPr>
          <w:ilvl w:val="0"/>
          <w:numId w:val="22"/>
        </w:numPr>
        <w:jc w:val="both"/>
        <w:rPr>
          <w:b/>
          <w:sz w:val="19"/>
          <w:szCs w:val="19"/>
        </w:rPr>
      </w:pPr>
      <w:r w:rsidRPr="00883A50">
        <w:rPr>
          <w:sz w:val="19"/>
          <w:szCs w:val="19"/>
          <w:lang w:val="en-IN" w:eastAsia="en-IN"/>
        </w:rPr>
        <w:t xml:space="preserve"> </w:t>
      </w:r>
      <w:r w:rsidR="00861508" w:rsidRPr="0005164C">
        <w:rPr>
          <w:b/>
          <w:sz w:val="19"/>
          <w:szCs w:val="19"/>
        </w:rPr>
        <w:t>Image:</w:t>
      </w:r>
    </w:p>
    <w:p w14:paraId="13D878B8" w14:textId="77777777" w:rsidR="00861508" w:rsidRPr="0005164C" w:rsidRDefault="00861508" w:rsidP="00861508">
      <w:pPr>
        <w:rPr>
          <w:sz w:val="19"/>
          <w:szCs w:val="19"/>
        </w:rPr>
      </w:pPr>
    </w:p>
    <w:p w14:paraId="4A1062D3" w14:textId="77777777" w:rsidR="005C43F8" w:rsidRDefault="005C43F8" w:rsidP="005C43F8">
      <w:pPr>
        <w:pStyle w:val="BodyText"/>
        <w:keepNext/>
        <w:ind w:firstLine="0"/>
      </w:pPr>
      <w:r w:rsidRPr="005C43F8">
        <w:rPr>
          <w:rFonts w:cs="Calibri"/>
          <w:noProof/>
        </w:rPr>
        <w:drawing>
          <wp:inline distT="0" distB="0" distL="0" distR="0" wp14:anchorId="3331D606" wp14:editId="2E1E5E35">
            <wp:extent cx="1268047" cy="3156854"/>
            <wp:effectExtent l="0" t="4763" r="0" b="0"/>
            <wp:docPr id="20" name="Picture 19" descr="A close-up of a piece of paper&#10;&#10;Description automatically generated with low confidence">
              <a:extLst xmlns:a="http://schemas.openxmlformats.org/drawingml/2006/main">
                <a:ext uri="{FF2B5EF4-FFF2-40B4-BE49-F238E27FC236}">
                  <a16:creationId xmlns:a16="http://schemas.microsoft.com/office/drawing/2014/main" id="{181A5E72-110C-F84C-A6EF-249E7B366E8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descr="A close-up of a piece of paper&#10;&#10;Description automatically generated with low confidence">
                      <a:extLst>
                        <a:ext uri="{FF2B5EF4-FFF2-40B4-BE49-F238E27FC236}">
                          <a16:creationId xmlns:a16="http://schemas.microsoft.com/office/drawing/2014/main" id="{181A5E72-110C-F84C-A6EF-249E7B366E85}"/>
                        </a:ext>
                      </a:extLst>
                    </pic:cNvPr>
                    <pic:cNvPicPr>
                      <a:picLocks noChangeAspect="1"/>
                    </pic:cNvPicPr>
                  </pic:nvPicPr>
                  <pic:blipFill rotWithShape="1">
                    <a:blip r:embed="rId6"/>
                    <a:srcRect l="3929" r="65945"/>
                    <a:stretch/>
                  </pic:blipFill>
                  <pic:spPr>
                    <a:xfrm rot="5400000">
                      <a:off x="0" y="0"/>
                      <a:ext cx="1289677" cy="3210703"/>
                    </a:xfrm>
                    <a:prstGeom prst="rect">
                      <a:avLst/>
                    </a:prstGeom>
                  </pic:spPr>
                </pic:pic>
              </a:graphicData>
            </a:graphic>
          </wp:inline>
        </w:drawing>
      </w:r>
    </w:p>
    <w:p w14:paraId="729BE4FC" w14:textId="09B233A3" w:rsidR="003C0794" w:rsidRPr="005C43F8" w:rsidRDefault="005C43F8" w:rsidP="005C43F8">
      <w:pPr>
        <w:pStyle w:val="Caption"/>
        <w:jc w:val="both"/>
        <w:rPr>
          <w:b w:val="0"/>
          <w:bCs w:val="0"/>
          <w:i/>
          <w:iCs/>
          <w:sz w:val="13"/>
          <w:szCs w:val="13"/>
        </w:rPr>
      </w:pPr>
      <w:r w:rsidRPr="005C43F8">
        <w:rPr>
          <w:b w:val="0"/>
          <w:bCs w:val="0"/>
          <w:i/>
          <w:iCs/>
          <w:sz w:val="13"/>
          <w:szCs w:val="13"/>
        </w:rPr>
        <w:t xml:space="preserve">Figure </w:t>
      </w:r>
      <w:r w:rsidRPr="005C43F8">
        <w:rPr>
          <w:b w:val="0"/>
          <w:bCs w:val="0"/>
          <w:i/>
          <w:iCs/>
          <w:sz w:val="13"/>
          <w:szCs w:val="13"/>
        </w:rPr>
        <w:fldChar w:fldCharType="begin"/>
      </w:r>
      <w:r w:rsidRPr="005C43F8">
        <w:rPr>
          <w:b w:val="0"/>
          <w:bCs w:val="0"/>
          <w:i/>
          <w:iCs/>
          <w:sz w:val="13"/>
          <w:szCs w:val="13"/>
        </w:rPr>
        <w:instrText xml:space="preserve"> SEQ Figure \* ARABIC </w:instrText>
      </w:r>
      <w:r w:rsidRPr="005C43F8">
        <w:rPr>
          <w:b w:val="0"/>
          <w:bCs w:val="0"/>
          <w:i/>
          <w:iCs/>
          <w:sz w:val="13"/>
          <w:szCs w:val="13"/>
        </w:rPr>
        <w:fldChar w:fldCharType="separate"/>
      </w:r>
      <w:r w:rsidRPr="005C43F8">
        <w:rPr>
          <w:b w:val="0"/>
          <w:bCs w:val="0"/>
          <w:i/>
          <w:iCs/>
          <w:noProof/>
          <w:sz w:val="13"/>
          <w:szCs w:val="13"/>
        </w:rPr>
        <w:t>1</w:t>
      </w:r>
      <w:r w:rsidRPr="005C43F8">
        <w:rPr>
          <w:b w:val="0"/>
          <w:bCs w:val="0"/>
          <w:i/>
          <w:iCs/>
          <w:sz w:val="13"/>
          <w:szCs w:val="13"/>
        </w:rPr>
        <w:fldChar w:fldCharType="end"/>
      </w:r>
      <w:r w:rsidRPr="005C43F8">
        <w:rPr>
          <w:b w:val="0"/>
          <w:bCs w:val="0"/>
          <w:i/>
          <w:iCs/>
          <w:sz w:val="13"/>
          <w:szCs w:val="13"/>
        </w:rPr>
        <w:t xml:space="preserve">: </w:t>
      </w:r>
      <w:proofErr w:type="spellStart"/>
      <w:r w:rsidRPr="005C43F8">
        <w:rPr>
          <w:b w:val="0"/>
          <w:bCs w:val="0"/>
          <w:i/>
          <w:iCs/>
          <w:sz w:val="13"/>
          <w:szCs w:val="13"/>
        </w:rPr>
        <w:t>Fibre</w:t>
      </w:r>
      <w:proofErr w:type="spellEnd"/>
      <w:r w:rsidRPr="005C43F8">
        <w:rPr>
          <w:b w:val="0"/>
          <w:bCs w:val="0"/>
          <w:i/>
          <w:iCs/>
          <w:sz w:val="13"/>
          <w:szCs w:val="13"/>
        </w:rPr>
        <w:t xml:space="preserve"> Tip, under a microscope. The parallel lines are the internal working and reference electrodes</w:t>
      </w:r>
    </w:p>
    <w:p w14:paraId="081FCBC9" w14:textId="77777777" w:rsidR="006271BB" w:rsidRPr="0005164C" w:rsidRDefault="006271BB" w:rsidP="00090975">
      <w:pPr>
        <w:pStyle w:val="BodyText"/>
        <w:ind w:firstLine="0"/>
        <w:jc w:val="left"/>
        <w:rPr>
          <w:sz w:val="19"/>
          <w:szCs w:val="19"/>
        </w:rPr>
      </w:pPr>
    </w:p>
    <w:p w14:paraId="3501759A" w14:textId="1C130EC4" w:rsidR="003C0794" w:rsidRPr="0005164C" w:rsidRDefault="003C0794" w:rsidP="00861508">
      <w:pPr>
        <w:pStyle w:val="BodyText"/>
        <w:numPr>
          <w:ilvl w:val="0"/>
          <w:numId w:val="22"/>
        </w:numPr>
        <w:jc w:val="left"/>
        <w:rPr>
          <w:b/>
          <w:sz w:val="19"/>
          <w:szCs w:val="19"/>
        </w:rPr>
      </w:pPr>
      <w:r w:rsidRPr="0005164C">
        <w:rPr>
          <w:b/>
          <w:sz w:val="19"/>
          <w:szCs w:val="19"/>
        </w:rPr>
        <w:t>Reference</w:t>
      </w:r>
      <w:r w:rsidR="00973444">
        <w:rPr>
          <w:b/>
          <w:sz w:val="19"/>
          <w:szCs w:val="19"/>
        </w:rPr>
        <w:t>s</w:t>
      </w:r>
      <w:r w:rsidRPr="0005164C">
        <w:rPr>
          <w:b/>
          <w:sz w:val="19"/>
          <w:szCs w:val="19"/>
        </w:rPr>
        <w:t>:</w:t>
      </w:r>
    </w:p>
    <w:p w14:paraId="7BF7BE5E" w14:textId="6D0CB89B" w:rsidR="00973444" w:rsidRPr="00973444" w:rsidRDefault="00973444" w:rsidP="00973444">
      <w:pPr>
        <w:numPr>
          <w:ilvl w:val="0"/>
          <w:numId w:val="24"/>
        </w:numPr>
        <w:shd w:val="clear" w:color="auto" w:fill="FFFFFF"/>
        <w:spacing w:before="100" w:beforeAutospacing="1" w:after="120"/>
        <w:jc w:val="left"/>
        <w:rPr>
          <w:sz w:val="19"/>
          <w:szCs w:val="19"/>
          <w:lang w:val="en-IN" w:eastAsia="en-IN"/>
        </w:rPr>
      </w:pPr>
      <w:bookmarkStart w:id="1" w:name="2"/>
      <w:bookmarkEnd w:id="1"/>
      <w:proofErr w:type="spellStart"/>
      <w:r w:rsidRPr="00D2088C">
        <w:rPr>
          <w:rFonts w:cstheme="minorHAnsi"/>
          <w:color w:val="000000"/>
          <w:shd w:val="clear" w:color="auto" w:fill="FFFFFF"/>
          <w:lang w:eastAsia="en-GB"/>
        </w:rPr>
        <w:t>Anastasova</w:t>
      </w:r>
      <w:proofErr w:type="spellEnd"/>
      <w:r w:rsidRPr="00D2088C">
        <w:rPr>
          <w:rFonts w:cstheme="minorHAnsi"/>
          <w:color w:val="000000"/>
          <w:shd w:val="clear" w:color="auto" w:fill="FFFFFF"/>
          <w:lang w:eastAsia="en-GB"/>
        </w:rPr>
        <w:t xml:space="preserve">, S., </w:t>
      </w:r>
      <w:proofErr w:type="spellStart"/>
      <w:r w:rsidRPr="00D2088C">
        <w:rPr>
          <w:rFonts w:cstheme="minorHAnsi"/>
          <w:color w:val="000000"/>
          <w:shd w:val="clear" w:color="auto" w:fill="FFFFFF"/>
          <w:lang w:eastAsia="en-GB"/>
        </w:rPr>
        <w:t>Spehar‐Délèze</w:t>
      </w:r>
      <w:proofErr w:type="spellEnd"/>
      <w:r w:rsidRPr="00D2088C">
        <w:rPr>
          <w:rFonts w:cstheme="minorHAnsi"/>
          <w:color w:val="000000"/>
          <w:shd w:val="clear" w:color="auto" w:fill="FFFFFF"/>
          <w:lang w:eastAsia="en-GB"/>
        </w:rPr>
        <w:t xml:space="preserve">, A., </w:t>
      </w:r>
      <w:proofErr w:type="spellStart"/>
      <w:r w:rsidRPr="00D2088C">
        <w:rPr>
          <w:rFonts w:cstheme="minorHAnsi"/>
          <w:color w:val="000000"/>
          <w:shd w:val="clear" w:color="auto" w:fill="FFFFFF"/>
          <w:lang w:eastAsia="en-GB"/>
        </w:rPr>
        <w:t>Kwasnicki</w:t>
      </w:r>
      <w:proofErr w:type="spellEnd"/>
      <w:r w:rsidRPr="00D2088C">
        <w:rPr>
          <w:rFonts w:cstheme="minorHAnsi"/>
          <w:color w:val="000000"/>
          <w:shd w:val="clear" w:color="auto" w:fill="FFFFFF"/>
          <w:lang w:eastAsia="en-GB"/>
        </w:rPr>
        <w:t xml:space="preserve">, R., Yang, G. and </w:t>
      </w:r>
      <w:proofErr w:type="spellStart"/>
      <w:r w:rsidRPr="00D2088C">
        <w:rPr>
          <w:rFonts w:cstheme="minorHAnsi"/>
          <w:color w:val="000000"/>
          <w:shd w:val="clear" w:color="auto" w:fill="FFFFFF"/>
          <w:lang w:eastAsia="en-GB"/>
        </w:rPr>
        <w:t>Vadgama</w:t>
      </w:r>
      <w:proofErr w:type="spellEnd"/>
      <w:r w:rsidRPr="00D2088C">
        <w:rPr>
          <w:rFonts w:cstheme="minorHAnsi"/>
          <w:color w:val="000000"/>
          <w:shd w:val="clear" w:color="auto" w:fill="FFFFFF"/>
          <w:lang w:eastAsia="en-GB"/>
        </w:rPr>
        <w:t xml:space="preserve">, P., 2020. Electrochemical Monitoring of Subcutaneous Tissue </w:t>
      </w:r>
      <w:proofErr w:type="spellStart"/>
      <w:r w:rsidRPr="00D2088C">
        <w:rPr>
          <w:rFonts w:cstheme="minorHAnsi"/>
          <w:color w:val="000000"/>
          <w:shd w:val="clear" w:color="auto" w:fill="FFFFFF"/>
          <w:lang w:eastAsia="en-GB"/>
        </w:rPr>
        <w:t>pO</w:t>
      </w:r>
      <w:proofErr w:type="spellEnd"/>
      <w:r w:rsidRPr="00D2088C">
        <w:rPr>
          <w:rFonts w:cstheme="minorHAnsi"/>
          <w:color w:val="000000"/>
          <w:shd w:val="clear" w:color="auto" w:fill="FFFFFF"/>
          <w:lang w:eastAsia="en-GB"/>
        </w:rPr>
        <w:t xml:space="preserve"> 2 Fluctuations during Exercise Using a Semi‐implantable Needle Electrode. </w:t>
      </w:r>
      <w:r w:rsidRPr="00D2088C">
        <w:rPr>
          <w:rFonts w:cstheme="minorHAnsi"/>
          <w:i/>
          <w:iCs/>
          <w:color w:val="000000"/>
          <w:shd w:val="clear" w:color="auto" w:fill="FFFFFF"/>
          <w:lang w:eastAsia="en-GB"/>
        </w:rPr>
        <w:t>Electroanalysis</w:t>
      </w:r>
      <w:r w:rsidRPr="00D2088C">
        <w:rPr>
          <w:rFonts w:cstheme="minorHAnsi"/>
          <w:color w:val="000000"/>
          <w:shd w:val="clear" w:color="auto" w:fill="FFFFFF"/>
          <w:lang w:eastAsia="en-GB"/>
        </w:rPr>
        <w:t>, 32(11), pp.2393-2403.</w:t>
      </w:r>
    </w:p>
    <w:p w14:paraId="46C3E1CE" w14:textId="7E387AC6" w:rsidR="00090975" w:rsidRDefault="00973444" w:rsidP="00090975">
      <w:pPr>
        <w:numPr>
          <w:ilvl w:val="0"/>
          <w:numId w:val="24"/>
        </w:numPr>
        <w:shd w:val="clear" w:color="auto" w:fill="FFFFFF"/>
        <w:spacing w:before="100" w:beforeAutospacing="1" w:after="120"/>
        <w:jc w:val="left"/>
        <w:rPr>
          <w:sz w:val="19"/>
          <w:szCs w:val="19"/>
          <w:lang w:val="en-IN" w:eastAsia="en-IN"/>
        </w:rPr>
      </w:pPr>
      <w:r w:rsidRPr="00973444">
        <w:rPr>
          <w:rFonts w:cstheme="minorHAnsi"/>
          <w:color w:val="000000"/>
          <w:sz w:val="19"/>
          <w:szCs w:val="19"/>
          <w:shd w:val="clear" w:color="auto" w:fill="FFFFFF"/>
          <w:lang w:eastAsia="en-GB"/>
        </w:rPr>
        <w:t xml:space="preserve">Booth, M., Gowers, S., Hersey, M., Samper, I., Park, S., </w:t>
      </w:r>
      <w:proofErr w:type="spellStart"/>
      <w:r w:rsidRPr="00973444">
        <w:rPr>
          <w:rFonts w:cstheme="minorHAnsi"/>
          <w:color w:val="000000"/>
          <w:sz w:val="19"/>
          <w:szCs w:val="19"/>
          <w:shd w:val="clear" w:color="auto" w:fill="FFFFFF"/>
          <w:lang w:eastAsia="en-GB"/>
        </w:rPr>
        <w:t>Anikeeva</w:t>
      </w:r>
      <w:proofErr w:type="spellEnd"/>
      <w:r w:rsidRPr="00973444">
        <w:rPr>
          <w:rFonts w:cstheme="minorHAnsi"/>
          <w:color w:val="000000"/>
          <w:sz w:val="19"/>
          <w:szCs w:val="19"/>
          <w:shd w:val="clear" w:color="auto" w:fill="FFFFFF"/>
          <w:lang w:eastAsia="en-GB"/>
        </w:rPr>
        <w:t xml:space="preserve">, P., Hashemi, P., Stevens, M. and </w:t>
      </w:r>
      <w:proofErr w:type="spellStart"/>
      <w:r w:rsidRPr="00973444">
        <w:rPr>
          <w:rFonts w:cstheme="minorHAnsi"/>
          <w:color w:val="000000"/>
          <w:sz w:val="19"/>
          <w:szCs w:val="19"/>
          <w:shd w:val="clear" w:color="auto" w:fill="FFFFFF"/>
          <w:lang w:eastAsia="en-GB"/>
        </w:rPr>
        <w:t>Boutelle</w:t>
      </w:r>
      <w:proofErr w:type="spellEnd"/>
      <w:r w:rsidRPr="00973444">
        <w:rPr>
          <w:rFonts w:cstheme="minorHAnsi"/>
          <w:color w:val="000000"/>
          <w:sz w:val="19"/>
          <w:szCs w:val="19"/>
          <w:shd w:val="clear" w:color="auto" w:fill="FFFFFF"/>
          <w:lang w:eastAsia="en-GB"/>
        </w:rPr>
        <w:t>, M., 2021. Fiber-Based Electrochemical Biosensors for Monitoring pH and Transient Neurometabolic Lactate. </w:t>
      </w:r>
      <w:r w:rsidRPr="00973444">
        <w:rPr>
          <w:rFonts w:cstheme="minorHAnsi"/>
          <w:i/>
          <w:iCs/>
          <w:color w:val="000000"/>
          <w:sz w:val="19"/>
          <w:szCs w:val="19"/>
          <w:shd w:val="clear" w:color="auto" w:fill="FFFFFF"/>
          <w:lang w:eastAsia="en-GB"/>
        </w:rPr>
        <w:t>Analytical Chemistry</w:t>
      </w:r>
      <w:r w:rsidRPr="00973444">
        <w:rPr>
          <w:rFonts w:cstheme="minorHAnsi"/>
          <w:color w:val="000000"/>
          <w:sz w:val="19"/>
          <w:szCs w:val="19"/>
          <w:shd w:val="clear" w:color="auto" w:fill="FFFFFF"/>
          <w:lang w:eastAsia="en-GB"/>
        </w:rPr>
        <w:t>, 93(17), pp.6646-6655.</w:t>
      </w:r>
    </w:p>
    <w:p w14:paraId="0A9E7167" w14:textId="3BD92F42" w:rsidR="00973444" w:rsidRPr="00973444" w:rsidRDefault="00973444" w:rsidP="00973444">
      <w:pPr>
        <w:pStyle w:val="ListParagraph"/>
        <w:numPr>
          <w:ilvl w:val="0"/>
          <w:numId w:val="24"/>
        </w:numPr>
        <w:jc w:val="both"/>
        <w:rPr>
          <w:rFonts w:cstheme="minorHAnsi"/>
          <w:sz w:val="19"/>
          <w:szCs w:val="19"/>
          <w:lang w:eastAsia="en-GB"/>
        </w:rPr>
      </w:pPr>
      <w:proofErr w:type="spellStart"/>
      <w:r w:rsidRPr="00973444">
        <w:rPr>
          <w:rFonts w:cstheme="minorHAnsi"/>
          <w:color w:val="000000"/>
          <w:sz w:val="19"/>
          <w:szCs w:val="19"/>
          <w:shd w:val="clear" w:color="auto" w:fill="FFFFFF"/>
          <w:lang w:eastAsia="en-GB"/>
        </w:rPr>
        <w:t>Parlak</w:t>
      </w:r>
      <w:proofErr w:type="spellEnd"/>
      <w:r w:rsidRPr="00973444">
        <w:rPr>
          <w:rFonts w:cstheme="minorHAnsi"/>
          <w:color w:val="000000"/>
          <w:sz w:val="19"/>
          <w:szCs w:val="19"/>
          <w:shd w:val="clear" w:color="auto" w:fill="FFFFFF"/>
          <w:lang w:eastAsia="en-GB"/>
        </w:rPr>
        <w:t>, O., 2021. Portable and wearable real-time stress monitoring: A critical review. </w:t>
      </w:r>
      <w:r w:rsidRPr="00973444">
        <w:rPr>
          <w:rFonts w:cstheme="minorHAnsi"/>
          <w:i/>
          <w:iCs/>
          <w:color w:val="000000"/>
          <w:sz w:val="19"/>
          <w:szCs w:val="19"/>
          <w:shd w:val="clear" w:color="auto" w:fill="FFFFFF"/>
          <w:lang w:eastAsia="en-GB"/>
        </w:rPr>
        <w:t>Sensors and Actuators Reports</w:t>
      </w:r>
      <w:r w:rsidRPr="00973444">
        <w:rPr>
          <w:rFonts w:cstheme="minorHAnsi"/>
          <w:color w:val="000000"/>
          <w:sz w:val="19"/>
          <w:szCs w:val="19"/>
          <w:shd w:val="clear" w:color="auto" w:fill="FFFFFF"/>
          <w:lang w:eastAsia="en-GB"/>
        </w:rPr>
        <w:t>, 3, p.100036.</w:t>
      </w:r>
    </w:p>
    <w:p w14:paraId="15F6D9D0" w14:textId="77777777" w:rsidR="00973444" w:rsidRPr="00973444" w:rsidRDefault="00973444" w:rsidP="00C86ADA">
      <w:pPr>
        <w:pStyle w:val="ListParagraph"/>
        <w:jc w:val="both"/>
        <w:rPr>
          <w:rFonts w:cstheme="minorHAnsi"/>
          <w:sz w:val="19"/>
          <w:szCs w:val="19"/>
          <w:lang w:eastAsia="en-GB"/>
        </w:rPr>
      </w:pPr>
    </w:p>
    <w:p w14:paraId="6DD9F709" w14:textId="097D4575" w:rsidR="00973444" w:rsidRPr="00C86ADA" w:rsidRDefault="00C86ADA" w:rsidP="00973444">
      <w:pPr>
        <w:pStyle w:val="ListParagraph"/>
        <w:numPr>
          <w:ilvl w:val="0"/>
          <w:numId w:val="24"/>
        </w:numPr>
        <w:jc w:val="both"/>
        <w:rPr>
          <w:rFonts w:cstheme="minorHAnsi"/>
          <w:sz w:val="19"/>
          <w:szCs w:val="19"/>
          <w:lang w:eastAsia="en-GB"/>
        </w:rPr>
      </w:pPr>
      <w:r w:rsidRPr="00C86ADA">
        <w:rPr>
          <w:rFonts w:cstheme="minorHAnsi"/>
          <w:color w:val="000000"/>
          <w:sz w:val="19"/>
          <w:szCs w:val="19"/>
          <w:shd w:val="clear" w:color="auto" w:fill="FFFFFF"/>
          <w:lang w:eastAsia="en-GB"/>
        </w:rPr>
        <w:t xml:space="preserve">Fischer, L., </w:t>
      </w:r>
      <w:proofErr w:type="spellStart"/>
      <w:r w:rsidRPr="00C86ADA">
        <w:rPr>
          <w:rFonts w:cstheme="minorHAnsi"/>
          <w:color w:val="000000"/>
          <w:sz w:val="19"/>
          <w:szCs w:val="19"/>
          <w:shd w:val="clear" w:color="auto" w:fill="FFFFFF"/>
          <w:lang w:eastAsia="en-GB"/>
        </w:rPr>
        <w:t>Tenje</w:t>
      </w:r>
      <w:proofErr w:type="spellEnd"/>
      <w:r w:rsidRPr="00C86ADA">
        <w:rPr>
          <w:rFonts w:cstheme="minorHAnsi"/>
          <w:color w:val="000000"/>
          <w:sz w:val="19"/>
          <w:szCs w:val="19"/>
          <w:shd w:val="clear" w:color="auto" w:fill="FFFFFF"/>
          <w:lang w:eastAsia="en-GB"/>
        </w:rPr>
        <w:t xml:space="preserve">, M., </w:t>
      </w:r>
      <w:proofErr w:type="spellStart"/>
      <w:r w:rsidRPr="00C86ADA">
        <w:rPr>
          <w:rFonts w:cstheme="minorHAnsi"/>
          <w:color w:val="000000"/>
          <w:sz w:val="19"/>
          <w:szCs w:val="19"/>
          <w:shd w:val="clear" w:color="auto" w:fill="FFFFFF"/>
          <w:lang w:eastAsia="en-GB"/>
        </w:rPr>
        <w:t>Heiskanen</w:t>
      </w:r>
      <w:proofErr w:type="spellEnd"/>
      <w:r w:rsidRPr="00C86ADA">
        <w:rPr>
          <w:rFonts w:cstheme="minorHAnsi"/>
          <w:color w:val="000000"/>
          <w:sz w:val="19"/>
          <w:szCs w:val="19"/>
          <w:shd w:val="clear" w:color="auto" w:fill="FFFFFF"/>
          <w:lang w:eastAsia="en-GB"/>
        </w:rPr>
        <w:t xml:space="preserve">, A., Masuda, N., Castillo, J., </w:t>
      </w:r>
      <w:proofErr w:type="spellStart"/>
      <w:r w:rsidRPr="00C86ADA">
        <w:rPr>
          <w:rFonts w:cstheme="minorHAnsi"/>
          <w:color w:val="000000"/>
          <w:sz w:val="19"/>
          <w:szCs w:val="19"/>
          <w:shd w:val="clear" w:color="auto" w:fill="FFFFFF"/>
          <w:lang w:eastAsia="en-GB"/>
        </w:rPr>
        <w:t>Bentien</w:t>
      </w:r>
      <w:proofErr w:type="spellEnd"/>
      <w:r w:rsidRPr="00C86ADA">
        <w:rPr>
          <w:rFonts w:cstheme="minorHAnsi"/>
          <w:color w:val="000000"/>
          <w:sz w:val="19"/>
          <w:szCs w:val="19"/>
          <w:shd w:val="clear" w:color="auto" w:fill="FFFFFF"/>
          <w:lang w:eastAsia="en-GB"/>
        </w:rPr>
        <w:t xml:space="preserve">, A., </w:t>
      </w:r>
      <w:proofErr w:type="spellStart"/>
      <w:r w:rsidRPr="00C86ADA">
        <w:rPr>
          <w:rFonts w:cstheme="minorHAnsi"/>
          <w:color w:val="000000"/>
          <w:sz w:val="19"/>
          <w:szCs w:val="19"/>
          <w:shd w:val="clear" w:color="auto" w:fill="FFFFFF"/>
          <w:lang w:eastAsia="en-GB"/>
        </w:rPr>
        <w:t>Émneus</w:t>
      </w:r>
      <w:proofErr w:type="spellEnd"/>
      <w:r w:rsidRPr="00C86ADA">
        <w:rPr>
          <w:rFonts w:cstheme="minorHAnsi"/>
          <w:color w:val="000000"/>
          <w:sz w:val="19"/>
          <w:szCs w:val="19"/>
          <w:shd w:val="clear" w:color="auto" w:fill="FFFFFF"/>
          <w:lang w:eastAsia="en-GB"/>
        </w:rPr>
        <w:t xml:space="preserve">, J., Jakobsen, M. and </w:t>
      </w:r>
      <w:proofErr w:type="spellStart"/>
      <w:r w:rsidRPr="00C86ADA">
        <w:rPr>
          <w:rFonts w:cstheme="minorHAnsi"/>
          <w:color w:val="000000"/>
          <w:sz w:val="19"/>
          <w:szCs w:val="19"/>
          <w:shd w:val="clear" w:color="auto" w:fill="FFFFFF"/>
          <w:lang w:eastAsia="en-GB"/>
        </w:rPr>
        <w:t>Boisen</w:t>
      </w:r>
      <w:proofErr w:type="spellEnd"/>
      <w:r w:rsidRPr="00C86ADA">
        <w:rPr>
          <w:rFonts w:cstheme="minorHAnsi"/>
          <w:color w:val="000000"/>
          <w:sz w:val="19"/>
          <w:szCs w:val="19"/>
          <w:shd w:val="clear" w:color="auto" w:fill="FFFFFF"/>
          <w:lang w:eastAsia="en-GB"/>
        </w:rPr>
        <w:t>, A., 2009. Gold cleaning methods for electrochemical detection applications. </w:t>
      </w:r>
      <w:r w:rsidRPr="00C86ADA">
        <w:rPr>
          <w:rFonts w:cstheme="minorHAnsi"/>
          <w:i/>
          <w:iCs/>
          <w:color w:val="000000"/>
          <w:sz w:val="19"/>
          <w:szCs w:val="19"/>
          <w:shd w:val="clear" w:color="auto" w:fill="FFFFFF"/>
          <w:lang w:eastAsia="en-GB"/>
        </w:rPr>
        <w:t>Microelectronic Engineering</w:t>
      </w:r>
      <w:r w:rsidRPr="00C86ADA">
        <w:rPr>
          <w:rFonts w:cstheme="minorHAnsi"/>
          <w:color w:val="000000"/>
          <w:sz w:val="19"/>
          <w:szCs w:val="19"/>
          <w:shd w:val="clear" w:color="auto" w:fill="FFFFFF"/>
          <w:lang w:eastAsia="en-GB"/>
        </w:rPr>
        <w:t>, 86(4-6), pp.1282-1285.</w:t>
      </w:r>
    </w:p>
    <w:p w14:paraId="25DE5347" w14:textId="77777777" w:rsidR="00C86ADA" w:rsidRPr="00C86ADA" w:rsidRDefault="00C86ADA" w:rsidP="00C86ADA">
      <w:pPr>
        <w:jc w:val="both"/>
        <w:rPr>
          <w:rFonts w:cstheme="minorHAnsi"/>
          <w:sz w:val="19"/>
          <w:szCs w:val="19"/>
          <w:lang w:eastAsia="en-GB"/>
        </w:rPr>
      </w:pPr>
    </w:p>
    <w:p w14:paraId="2B20035F" w14:textId="77777777" w:rsidR="00861508" w:rsidRPr="0005164C" w:rsidRDefault="00861508" w:rsidP="004227FF">
      <w:pPr>
        <w:numPr>
          <w:ilvl w:val="0"/>
          <w:numId w:val="22"/>
        </w:numPr>
        <w:shd w:val="clear" w:color="auto" w:fill="FFFFFF"/>
        <w:spacing w:before="100" w:beforeAutospacing="1" w:after="120"/>
        <w:jc w:val="left"/>
        <w:rPr>
          <w:b/>
          <w:sz w:val="19"/>
          <w:szCs w:val="19"/>
        </w:rPr>
      </w:pPr>
      <w:r w:rsidRPr="0005164C">
        <w:rPr>
          <w:b/>
          <w:sz w:val="19"/>
          <w:szCs w:val="19"/>
          <w:lang w:val="en-IN" w:eastAsia="en-IN"/>
        </w:rPr>
        <w:t>Biography:</w:t>
      </w:r>
    </w:p>
    <w:p w14:paraId="6717F628" w14:textId="03F9088D" w:rsidR="006D7DD2" w:rsidRDefault="006D7DD2" w:rsidP="00861508">
      <w:pPr>
        <w:jc w:val="both"/>
        <w:rPr>
          <w:sz w:val="19"/>
          <w:szCs w:val="19"/>
        </w:rPr>
      </w:pPr>
      <w:r>
        <w:rPr>
          <w:sz w:val="19"/>
          <w:szCs w:val="19"/>
        </w:rPr>
        <w:t xml:space="preserve">Meera Madhavan has submitted her </w:t>
      </w:r>
      <w:proofErr w:type="gramStart"/>
      <w:r>
        <w:rPr>
          <w:sz w:val="19"/>
          <w:szCs w:val="19"/>
        </w:rPr>
        <w:t>Master’s</w:t>
      </w:r>
      <w:proofErr w:type="gramEnd"/>
      <w:r>
        <w:rPr>
          <w:sz w:val="19"/>
          <w:szCs w:val="19"/>
        </w:rPr>
        <w:t xml:space="preserve"> thesis at the age of 26 from Imperial College London and completed her Bachelor’s Degree at the Henry </w:t>
      </w:r>
      <w:proofErr w:type="spellStart"/>
      <w:r>
        <w:rPr>
          <w:sz w:val="19"/>
          <w:szCs w:val="19"/>
        </w:rPr>
        <w:t>Samueli</w:t>
      </w:r>
      <w:proofErr w:type="spellEnd"/>
      <w:r>
        <w:rPr>
          <w:sz w:val="19"/>
          <w:szCs w:val="19"/>
        </w:rPr>
        <w:t xml:space="preserve"> School of Engineering and Applied Sciences at the University of California, Los Angeles. </w:t>
      </w:r>
    </w:p>
    <w:p w14:paraId="062E1933" w14:textId="6C026259" w:rsidR="00861508" w:rsidRPr="0005164C" w:rsidRDefault="00861508" w:rsidP="00861508">
      <w:pPr>
        <w:jc w:val="both"/>
        <w:rPr>
          <w:rFonts w:eastAsia="MS PGothic"/>
          <w:b/>
          <w:sz w:val="19"/>
          <w:szCs w:val="19"/>
        </w:rPr>
      </w:pPr>
      <w:r w:rsidRPr="0005164C">
        <w:rPr>
          <w:sz w:val="19"/>
          <w:szCs w:val="19"/>
        </w:rPr>
        <w:tab/>
      </w:r>
      <w:r w:rsidRPr="0005164C">
        <w:rPr>
          <w:sz w:val="19"/>
          <w:szCs w:val="19"/>
        </w:rPr>
        <w:br/>
      </w:r>
    </w:p>
    <w:p w14:paraId="31896A28" w14:textId="77777777" w:rsidR="00272C82" w:rsidRPr="0005164C" w:rsidRDefault="00861508" w:rsidP="004227FF">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p>
    <w:p w14:paraId="7FBA55F2" w14:textId="77777777" w:rsidR="00272C82" w:rsidRPr="0005164C" w:rsidRDefault="00272C82" w:rsidP="00861508">
      <w:pPr>
        <w:autoSpaceDE w:val="0"/>
        <w:autoSpaceDN w:val="0"/>
        <w:adjustRightInd w:val="0"/>
        <w:jc w:val="left"/>
        <w:rPr>
          <w:sz w:val="19"/>
          <w:szCs w:val="19"/>
          <w:lang w:val="en-NZ"/>
        </w:rPr>
      </w:pPr>
    </w:p>
    <w:p w14:paraId="2A8027D1" w14:textId="4F36C45F" w:rsidR="00272C82" w:rsidRPr="0005164C" w:rsidRDefault="00C86ADA" w:rsidP="00861508">
      <w:pPr>
        <w:autoSpaceDE w:val="0"/>
        <w:autoSpaceDN w:val="0"/>
        <w:adjustRightInd w:val="0"/>
        <w:jc w:val="left"/>
        <w:rPr>
          <w:sz w:val="19"/>
          <w:szCs w:val="19"/>
          <w:lang w:val="en-NZ"/>
        </w:rPr>
      </w:pPr>
      <w:r>
        <w:rPr>
          <w:noProof/>
          <w:sz w:val="19"/>
          <w:szCs w:val="19"/>
          <w:lang w:val="en-NZ"/>
        </w:rPr>
        <w:drawing>
          <wp:inline distT="0" distB="0" distL="0" distR="0" wp14:anchorId="03185E49" wp14:editId="03399F78">
            <wp:extent cx="933254" cy="933254"/>
            <wp:effectExtent l="0" t="0" r="0" b="0"/>
            <wp:docPr id="1" name="Picture 1" descr="A person wearing a graduation cap and gow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wearing a graduation cap and gown&#10;&#10;Description automatically generated with medium confidence"/>
                    <pic:cNvPicPr/>
                  </pic:nvPicPr>
                  <pic:blipFill>
                    <a:blip r:embed="rId7"/>
                    <a:stretch>
                      <a:fillRect/>
                    </a:stretch>
                  </pic:blipFill>
                  <pic:spPr>
                    <a:xfrm>
                      <a:off x="0" y="0"/>
                      <a:ext cx="942469" cy="942469"/>
                    </a:xfrm>
                    <a:prstGeom prst="rect">
                      <a:avLst/>
                    </a:prstGeom>
                  </pic:spPr>
                </pic:pic>
              </a:graphicData>
            </a:graphic>
          </wp:inline>
        </w:drawing>
      </w:r>
      <w:r w:rsidR="00861508" w:rsidRPr="0005164C">
        <w:rPr>
          <w:sz w:val="19"/>
          <w:szCs w:val="19"/>
          <w:lang w:val="en-NZ"/>
        </w:rPr>
        <w:br/>
      </w:r>
    </w:p>
    <w:p w14:paraId="11843CFE" w14:textId="5A70E7D1" w:rsidR="00272C82" w:rsidRPr="0005164C" w:rsidRDefault="00272C82" w:rsidP="00861508">
      <w:pPr>
        <w:autoSpaceDE w:val="0"/>
        <w:autoSpaceDN w:val="0"/>
        <w:adjustRightInd w:val="0"/>
        <w:jc w:val="left"/>
        <w:rPr>
          <w:sz w:val="19"/>
          <w:szCs w:val="19"/>
          <w:lang w:val="en-NZ"/>
        </w:rPr>
      </w:pPr>
      <w:r w:rsidRPr="0005164C">
        <w:rPr>
          <w:sz w:val="19"/>
          <w:szCs w:val="19"/>
          <w:lang w:val="en-NZ"/>
        </w:rPr>
        <w:t>Full Name:</w:t>
      </w:r>
      <w:r w:rsidR="00964228">
        <w:rPr>
          <w:sz w:val="19"/>
          <w:szCs w:val="19"/>
          <w:lang w:val="en-NZ"/>
        </w:rPr>
        <w:t xml:space="preserve"> Meera Madhavan</w:t>
      </w:r>
    </w:p>
    <w:p w14:paraId="19249B5E" w14:textId="7EE7D417" w:rsidR="00861508" w:rsidRPr="0005164C" w:rsidRDefault="00861508" w:rsidP="00861508">
      <w:pPr>
        <w:autoSpaceDE w:val="0"/>
        <w:autoSpaceDN w:val="0"/>
        <w:adjustRightInd w:val="0"/>
        <w:jc w:val="left"/>
        <w:rPr>
          <w:b/>
          <w:sz w:val="19"/>
          <w:szCs w:val="19"/>
          <w:lang w:val="en-NZ"/>
        </w:rPr>
      </w:pPr>
      <w:r w:rsidRPr="0005164C">
        <w:rPr>
          <w:sz w:val="19"/>
          <w:szCs w:val="19"/>
          <w:lang w:val="en-NZ"/>
        </w:rPr>
        <w:t>Contact number:</w:t>
      </w:r>
      <w:r w:rsidR="00964228">
        <w:rPr>
          <w:sz w:val="19"/>
          <w:szCs w:val="19"/>
          <w:lang w:val="en-NZ"/>
        </w:rPr>
        <w:t xml:space="preserve"> +44 7721 730642</w:t>
      </w:r>
      <w:r w:rsidRPr="0005164C">
        <w:rPr>
          <w:sz w:val="19"/>
          <w:szCs w:val="19"/>
          <w:lang w:val="en-NZ"/>
        </w:rPr>
        <w:br/>
        <w:t>Linked In account:</w:t>
      </w:r>
      <w:r w:rsidR="006271BB">
        <w:rPr>
          <w:sz w:val="19"/>
          <w:szCs w:val="19"/>
          <w:lang w:val="en-NZ"/>
        </w:rPr>
        <w:t xml:space="preserve"> </w:t>
      </w:r>
      <w:r w:rsidR="006271BB" w:rsidRPr="006271BB">
        <w:rPr>
          <w:sz w:val="19"/>
          <w:szCs w:val="19"/>
          <w:lang w:val="en-NZ"/>
        </w:rPr>
        <w:t>meera-madhavan-01a77390</w:t>
      </w:r>
    </w:p>
    <w:p w14:paraId="2C691661" w14:textId="77777777" w:rsidR="00861508" w:rsidRPr="0005164C" w:rsidRDefault="00861508" w:rsidP="00861508">
      <w:pPr>
        <w:autoSpaceDE w:val="0"/>
        <w:autoSpaceDN w:val="0"/>
        <w:adjustRightInd w:val="0"/>
        <w:jc w:val="left"/>
        <w:rPr>
          <w:sz w:val="19"/>
          <w:szCs w:val="19"/>
          <w:lang w:val="en-NZ"/>
        </w:rPr>
      </w:pPr>
      <w:r w:rsidRPr="0005164C">
        <w:rPr>
          <w:sz w:val="19"/>
          <w:szCs w:val="19"/>
          <w:lang w:val="en-NZ"/>
        </w:rPr>
        <w:t>Session name/ number:</w:t>
      </w:r>
      <w:r w:rsidRPr="0005164C">
        <w:rPr>
          <w:sz w:val="19"/>
          <w:szCs w:val="19"/>
          <w:lang w:val="en-NZ"/>
        </w:rPr>
        <w:br/>
        <w:t>Category: (Oral presentation/ Poster presentation)</w:t>
      </w:r>
    </w:p>
    <w:p w14:paraId="568C47AD" w14:textId="6232F278" w:rsidR="00861508" w:rsidRPr="0005164C" w:rsidRDefault="00861508" w:rsidP="00861508">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r w:rsidR="00C86ADA">
        <w:rPr>
          <w:sz w:val="18"/>
          <w:szCs w:val="18"/>
          <w:lang w:val="en-IN"/>
        </w:rPr>
        <w:t xml:space="preserve"> 496822303</w:t>
      </w:r>
    </w:p>
    <w:sectPr w:rsidR="00861508"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autami">
    <w:panose1 w:val="020B0502040204020203"/>
    <w:charset w:val="00"/>
    <w:family w:val="swiss"/>
    <w:pitch w:val="variable"/>
    <w:sig w:usb0="002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15:restartNumberingAfterBreak="0">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15:restartNumberingAfterBreak="0">
    <w:nsid w:val="26FE1FCF"/>
    <w:multiLevelType w:val="hybridMultilevel"/>
    <w:tmpl w:val="33826962"/>
    <w:lvl w:ilvl="0" w:tplc="A2947960">
      <w:start w:val="1"/>
      <w:numFmt w:val="decimal"/>
      <w:pStyle w:val="footnote"/>
      <w:lvlText w:val="%1 "/>
      <w:lvlJc w:val="left"/>
      <w:rPr>
        <w:rFonts w:ascii="Times New Roman" w:hAnsi="Times New Roman" w:cs="Times New Roman" w:hint="default"/>
        <w:b w:val="0"/>
        <w:bCs w:val="0"/>
        <w:i w:val="0"/>
        <w:iCs w:val="0"/>
        <w:caps w:val="0"/>
        <w:strike w:val="0"/>
        <w:dstrike w:val="0"/>
        <w:vanish w:val="0"/>
        <w:sz w:val="16"/>
        <w:szCs w:val="16"/>
        <w:vertAlign w:val="superscript"/>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15:restartNumberingAfterBreak="0">
    <w:nsid w:val="4189603E"/>
    <w:multiLevelType w:val="multilevel"/>
    <w:tmpl w:val="1E7CD33E"/>
    <w:lvl w:ilvl="0">
      <w:start w:val="1"/>
      <w:numFmt w:val="upperRoman"/>
      <w:pStyle w:val="Heading1"/>
      <w:lvlText w:val="%1."/>
      <w:lvlJc w:val="center"/>
      <w:rPr>
        <w:rFonts w:ascii="Times New Roman" w:eastAsia="MS Mincho" w:hAnsi="Times New Roman" w:cs="Times New Roman"/>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15:restartNumberingAfterBreak="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15:restartNumberingAfterBreak="0">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3" w15:restartNumberingAfterBreak="0">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5" w15:restartNumberingAfterBreak="0">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6"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7CD255F0"/>
    <w:multiLevelType w:val="hybridMultilevel"/>
    <w:tmpl w:val="1BBC66D6"/>
    <w:lvl w:ilvl="0" w:tplc="BB425798">
      <w:start w:val="1"/>
      <w:numFmt w:val="lowerLetter"/>
      <w:pStyle w:val="tablefootnote"/>
      <w:lvlText w:val="%1."/>
      <w:lvlJc w:val="right"/>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6"/>
  </w:num>
  <w:num w:numId="2">
    <w:abstractNumId w:val="13"/>
  </w:num>
  <w:num w:numId="3">
    <w:abstractNumId w:val="4"/>
  </w:num>
  <w:num w:numId="4">
    <w:abstractNumId w:val="8"/>
  </w:num>
  <w:num w:numId="5">
    <w:abstractNumId w:val="8"/>
  </w:num>
  <w:num w:numId="6">
    <w:abstractNumId w:val="8"/>
  </w:num>
  <w:num w:numId="7">
    <w:abstractNumId w:val="8"/>
  </w:num>
  <w:num w:numId="8">
    <w:abstractNumId w:val="10"/>
  </w:num>
  <w:num w:numId="9">
    <w:abstractNumId w:val="14"/>
  </w:num>
  <w:num w:numId="10">
    <w:abstractNumId w:val="7"/>
  </w:num>
  <w:num w:numId="11">
    <w:abstractNumId w:val="3"/>
  </w:num>
  <w:num w:numId="12">
    <w:abstractNumId w:val="17"/>
  </w:num>
  <w:num w:numId="13">
    <w:abstractNumId w:val="9"/>
  </w:num>
  <w:num w:numId="14">
    <w:abstractNumId w:val="11"/>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2"/>
  </w:num>
  <w:num w:numId="23">
    <w:abstractNumId w:val="15"/>
  </w:num>
  <w:num w:numId="24">
    <w:abstractNumId w:val="16"/>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characterSpacingControl w:val="doNotCompress"/>
  <w:doNotValidateAgainstSchema/>
  <w:doNotDemarcateInvalidXml/>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9A6"/>
    <w:rsid w:val="0004390D"/>
    <w:rsid w:val="0005164C"/>
    <w:rsid w:val="00090975"/>
    <w:rsid w:val="000B4641"/>
    <w:rsid w:val="0010711E"/>
    <w:rsid w:val="00124679"/>
    <w:rsid w:val="00127EDD"/>
    <w:rsid w:val="002043C0"/>
    <w:rsid w:val="00272C82"/>
    <w:rsid w:val="00276735"/>
    <w:rsid w:val="002864A3"/>
    <w:rsid w:val="002B3B81"/>
    <w:rsid w:val="00351E9B"/>
    <w:rsid w:val="003A47B5"/>
    <w:rsid w:val="003A59A6"/>
    <w:rsid w:val="003C0794"/>
    <w:rsid w:val="004059FE"/>
    <w:rsid w:val="004227FF"/>
    <w:rsid w:val="004445B3"/>
    <w:rsid w:val="005B520E"/>
    <w:rsid w:val="005B535B"/>
    <w:rsid w:val="005C43F8"/>
    <w:rsid w:val="006108A4"/>
    <w:rsid w:val="006271BB"/>
    <w:rsid w:val="00663E31"/>
    <w:rsid w:val="006C4648"/>
    <w:rsid w:val="006D7DD2"/>
    <w:rsid w:val="0072064C"/>
    <w:rsid w:val="007442B3"/>
    <w:rsid w:val="00753F7B"/>
    <w:rsid w:val="0078398E"/>
    <w:rsid w:val="00787C5A"/>
    <w:rsid w:val="007919DE"/>
    <w:rsid w:val="007C0308"/>
    <w:rsid w:val="008014D2"/>
    <w:rsid w:val="008054BC"/>
    <w:rsid w:val="00812538"/>
    <w:rsid w:val="00841147"/>
    <w:rsid w:val="00861508"/>
    <w:rsid w:val="00883A50"/>
    <w:rsid w:val="008A55B5"/>
    <w:rsid w:val="008A75C8"/>
    <w:rsid w:val="00907876"/>
    <w:rsid w:val="00964228"/>
    <w:rsid w:val="00973444"/>
    <w:rsid w:val="0097508D"/>
    <w:rsid w:val="009D49B8"/>
    <w:rsid w:val="00A510F7"/>
    <w:rsid w:val="00AC6519"/>
    <w:rsid w:val="00C86ADA"/>
    <w:rsid w:val="00CB1404"/>
    <w:rsid w:val="00CB66E6"/>
    <w:rsid w:val="00D319E1"/>
    <w:rsid w:val="00D9156D"/>
    <w:rsid w:val="00E177DC"/>
    <w:rsid w:val="00E8514D"/>
    <w:rsid w:val="00E91219"/>
    <w:rsid w:val="00E918C4"/>
    <w:rsid w:val="00EA506F"/>
    <w:rsid w:val="00EE01EC"/>
    <w:rsid w:val="00EE4362"/>
    <w:rsid w:val="00EF18D7"/>
    <w:rsid w:val="00EF1E8A"/>
    <w:rsid w:val="00EF3A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1524ED7"/>
  <w15:chartTrackingRefBased/>
  <w15:docId w15:val="{15F57A98-1478-4B41-AACF-A7534F86B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535B"/>
    <w:pPr>
      <w:jc w:val="center"/>
    </w:pPr>
    <w:rPr>
      <w:rFonts w:ascii="Times New Roman" w:hAnsi="Times New Roman"/>
      <w:lang w:val="en-US" w:eastAsia="en-US"/>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num" w:pos="288"/>
      </w:tabs>
      <w:spacing w:before="120" w:after="60"/>
      <w:ind w:left="288" w:hanging="288"/>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tabs>
        <w:tab w:val="num" w:pos="540"/>
      </w:tabs>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val="en-US" w:eastAsia="en-US"/>
    </w:rPr>
  </w:style>
  <w:style w:type="paragraph" w:customStyle="1" w:styleId="Affiliation">
    <w:name w:val="Affiliation"/>
    <w:uiPriority w:val="99"/>
    <w:pPr>
      <w:jc w:val="center"/>
    </w:pPr>
    <w:rPr>
      <w:rFonts w:ascii="Times New Roman" w:hAnsi="Times New Roman"/>
      <w:lang w:val="en-US" w:eastAsia="en-US"/>
    </w:rPr>
  </w:style>
  <w:style w:type="paragraph" w:customStyle="1" w:styleId="Author">
    <w:name w:val="Author"/>
    <w:uiPriority w:val="99"/>
    <w:pPr>
      <w:spacing w:before="360" w:after="40"/>
      <w:jc w:val="center"/>
    </w:pPr>
    <w:rPr>
      <w:rFonts w:ascii="Times New Roman" w:hAnsi="Times New Roman"/>
      <w:noProof/>
      <w:sz w:val="22"/>
      <w:szCs w:val="22"/>
      <w:lang w:val="en-US" w:eastAsia="en-US"/>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lang w:val="en-US" w:eastAsia="en-US"/>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lang w:val="en-US" w:eastAsia="en-US"/>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val="en-US" w:eastAsia="en-US"/>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val="en-US" w:eastAsia="en-US"/>
    </w:rPr>
  </w:style>
  <w:style w:type="paragraph" w:customStyle="1" w:styleId="papertitle">
    <w:name w:val="paper title"/>
    <w:uiPriority w:val="99"/>
    <w:rsid w:val="0097508D"/>
    <w:pPr>
      <w:spacing w:after="120"/>
      <w:jc w:val="center"/>
    </w:pPr>
    <w:rPr>
      <w:rFonts w:ascii="Times New Roman" w:hAnsi="Times New Roman"/>
      <w:bCs/>
      <w:noProof/>
      <w:sz w:val="48"/>
      <w:szCs w:val="48"/>
      <w:lang w:val="en-US" w:eastAsia="en-US"/>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val="en-US" w:eastAsia="en-US"/>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lang w:val="en-US" w:eastAsia="en-US"/>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lang w:val="en-US" w:eastAsia="en-US"/>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val="en-US" w:eastAsia="en-US"/>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lang w:val="en-US" w:eastAsia="en-US"/>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semiHidden/>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val="x-none" w:eastAsia="x-none" w:bidi="te-IN"/>
    </w:rPr>
  </w:style>
  <w:style w:type="character" w:customStyle="1" w:styleId="CommentSubjectChar">
    <w:name w:val="Comment Subject Char"/>
    <w:link w:val="CommentSubject"/>
    <w:uiPriority w:val="99"/>
    <w:semiHidden/>
    <w:rsid w:val="003C0794"/>
    <w:rPr>
      <w:rFonts w:ascii="Times New Roman" w:hAnsi="Times New Roman" w:cs="Gautami"/>
      <w:b/>
      <w:bCs/>
      <w:lang w:val="x-none" w:eastAsia="x-none" w:bidi="te-IN"/>
    </w:rPr>
  </w:style>
  <w:style w:type="paragraph" w:styleId="Caption">
    <w:name w:val="caption"/>
    <w:basedOn w:val="Normal"/>
    <w:next w:val="Normal"/>
    <w:uiPriority w:val="35"/>
    <w:unhideWhenUsed/>
    <w:qFormat/>
    <w:rsid w:val="005C43F8"/>
    <w:rPr>
      <w:b/>
      <w:bCs/>
    </w:rPr>
  </w:style>
  <w:style w:type="paragraph" w:styleId="ListParagraph">
    <w:name w:val="List Paragraph"/>
    <w:basedOn w:val="Normal"/>
    <w:uiPriority w:val="34"/>
    <w:qFormat/>
    <w:rsid w:val="009734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www.openaccessjournals.com/articles/major-risk-factors-for-atherosclerosis-and-metabolic-syndrome-the-uhs-12178.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551</Words>
  <Characters>3143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3687</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meera.madhavan.95@gmail.com</cp:lastModifiedBy>
  <cp:revision>3</cp:revision>
  <dcterms:created xsi:type="dcterms:W3CDTF">2021-10-04T15:11:00Z</dcterms:created>
  <dcterms:modified xsi:type="dcterms:W3CDTF">2021-10-04T15:19:00Z</dcterms:modified>
</cp:coreProperties>
</file>