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30C620" w14:textId="77777777" w:rsidR="008A55B5" w:rsidRPr="0005164C" w:rsidRDefault="003C0794" w:rsidP="00861508">
      <w:pPr>
        <w:rPr>
          <w:rFonts w:eastAsia="MS Mincho"/>
          <w:b/>
          <w:sz w:val="22"/>
          <w:szCs w:val="22"/>
          <w:u w:val="single"/>
        </w:rPr>
      </w:pPr>
      <w:r w:rsidRPr="0005164C">
        <w:rPr>
          <w:rFonts w:eastAsia="MS Mincho"/>
          <w:b/>
          <w:sz w:val="22"/>
          <w:szCs w:val="22"/>
          <w:u w:val="single"/>
        </w:rPr>
        <w:t>Abstract Template</w:t>
      </w:r>
    </w:p>
    <w:p w14:paraId="612DA4EC" w14:textId="77777777" w:rsidR="003C0794" w:rsidRDefault="003C0794">
      <w:pPr>
        <w:pStyle w:val="Author"/>
        <w:rPr>
          <w:rFonts w:eastAsia="MS Mincho"/>
          <w:sz w:val="18"/>
          <w:szCs w:val="18"/>
        </w:rPr>
      </w:pPr>
    </w:p>
    <w:p w14:paraId="2F1CCFC5" w14:textId="77777777"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14:paraId="7F5B90D4" w14:textId="77777777" w:rsidR="003C0794" w:rsidRPr="009D49B8" w:rsidRDefault="003C0794" w:rsidP="003C0794">
      <w:pPr>
        <w:jc w:val="both"/>
        <w:rPr>
          <w:rFonts w:eastAsia="MS PGothic"/>
          <w:b/>
          <w:color w:val="000000"/>
          <w:sz w:val="22"/>
          <w:szCs w:val="22"/>
        </w:rPr>
      </w:pPr>
      <w:r w:rsidRPr="009D49B8">
        <w:rPr>
          <w:rFonts w:eastAsia="MS PGothic"/>
          <w:b/>
          <w:color w:val="000000"/>
          <w:sz w:val="22"/>
          <w:szCs w:val="22"/>
        </w:rPr>
        <w:t xml:space="preserve">Title: </w:t>
      </w:r>
      <w:r w:rsidR="00212B8F" w:rsidRPr="00212B8F">
        <w:rPr>
          <w:rFonts w:eastAsia="MS PGothic"/>
          <w:b/>
          <w:color w:val="000000"/>
          <w:sz w:val="22"/>
          <w:szCs w:val="22"/>
        </w:rPr>
        <w:t>Deep Eutectic Solvents: from biocompatibility to application in biosensors development</w:t>
      </w:r>
    </w:p>
    <w:p w14:paraId="76D0142A" w14:textId="77777777" w:rsidR="0005164C" w:rsidRPr="009D49B8" w:rsidRDefault="0005164C" w:rsidP="003C0794">
      <w:pPr>
        <w:jc w:val="both"/>
        <w:rPr>
          <w:rFonts w:eastAsia="MS PGothic"/>
          <w:color w:val="000000"/>
          <w:sz w:val="22"/>
          <w:szCs w:val="22"/>
        </w:rPr>
      </w:pPr>
    </w:p>
    <w:p w14:paraId="27A298E7" w14:textId="77777777" w:rsidR="00212B8F" w:rsidRPr="00212B8F" w:rsidRDefault="00212B8F" w:rsidP="00212B8F">
      <w:pPr>
        <w:shd w:val="clear" w:color="auto" w:fill="FFFFFF"/>
        <w:spacing w:after="150"/>
        <w:jc w:val="both"/>
        <w:rPr>
          <w:b/>
          <w:bCs/>
          <w:sz w:val="19"/>
          <w:szCs w:val="19"/>
          <w:lang w:val="it-IT" w:eastAsia="en-IN"/>
        </w:rPr>
      </w:pPr>
      <w:r w:rsidRPr="00212B8F">
        <w:rPr>
          <w:b/>
          <w:bCs/>
          <w:sz w:val="19"/>
          <w:szCs w:val="19"/>
          <w:lang w:val="it-IT" w:eastAsia="en-IN"/>
        </w:rPr>
        <w:t xml:space="preserve">Rossella </w:t>
      </w:r>
      <w:proofErr w:type="spellStart"/>
      <w:r w:rsidRPr="00212B8F">
        <w:rPr>
          <w:b/>
          <w:bCs/>
          <w:sz w:val="19"/>
          <w:szCs w:val="19"/>
          <w:lang w:val="it-IT" w:eastAsia="en-IN"/>
        </w:rPr>
        <w:t>Svigelj</w:t>
      </w:r>
      <w:proofErr w:type="spellEnd"/>
      <w:r w:rsidRPr="00212B8F">
        <w:rPr>
          <w:b/>
          <w:bCs/>
          <w:sz w:val="19"/>
          <w:szCs w:val="19"/>
          <w:lang w:val="it-IT" w:eastAsia="en-IN"/>
        </w:rPr>
        <w:t xml:space="preserve"> </w:t>
      </w:r>
      <w:r w:rsidRPr="00212B8F">
        <w:rPr>
          <w:b/>
          <w:bCs/>
          <w:sz w:val="19"/>
          <w:szCs w:val="19"/>
          <w:vertAlign w:val="superscript"/>
          <w:lang w:val="it-IT" w:eastAsia="en-IN"/>
        </w:rPr>
        <w:t>1</w:t>
      </w:r>
      <w:r w:rsidRPr="00212B8F">
        <w:rPr>
          <w:b/>
          <w:bCs/>
          <w:sz w:val="19"/>
          <w:szCs w:val="19"/>
          <w:lang w:val="it-IT" w:eastAsia="en-IN"/>
        </w:rPr>
        <w:t xml:space="preserve">, Nicolò Dossi </w:t>
      </w:r>
      <w:r w:rsidRPr="00212B8F">
        <w:rPr>
          <w:b/>
          <w:bCs/>
          <w:sz w:val="19"/>
          <w:szCs w:val="19"/>
          <w:vertAlign w:val="superscript"/>
          <w:lang w:val="it-IT" w:eastAsia="en-IN"/>
        </w:rPr>
        <w:t>1</w:t>
      </w:r>
      <w:r w:rsidRPr="00212B8F">
        <w:rPr>
          <w:b/>
          <w:bCs/>
          <w:sz w:val="19"/>
          <w:szCs w:val="19"/>
          <w:lang w:val="it-IT" w:eastAsia="en-IN"/>
        </w:rPr>
        <w:t xml:space="preserve">, Cristian Grazioli </w:t>
      </w:r>
      <w:r w:rsidRPr="00212B8F">
        <w:rPr>
          <w:b/>
          <w:bCs/>
          <w:sz w:val="19"/>
          <w:szCs w:val="19"/>
          <w:vertAlign w:val="superscript"/>
          <w:lang w:val="it-IT" w:eastAsia="en-IN"/>
        </w:rPr>
        <w:t>1</w:t>
      </w:r>
      <w:r w:rsidRPr="00212B8F">
        <w:rPr>
          <w:b/>
          <w:bCs/>
          <w:sz w:val="19"/>
          <w:szCs w:val="19"/>
          <w:lang w:val="it-IT" w:eastAsia="en-IN"/>
        </w:rPr>
        <w:t xml:space="preserve"> and Rosanna Toniolo </w:t>
      </w:r>
      <w:r w:rsidRPr="00212B8F">
        <w:rPr>
          <w:b/>
          <w:bCs/>
          <w:sz w:val="19"/>
          <w:szCs w:val="19"/>
          <w:vertAlign w:val="superscript"/>
          <w:lang w:val="it-IT" w:eastAsia="en-IN"/>
        </w:rPr>
        <w:t>1</w:t>
      </w:r>
    </w:p>
    <w:p w14:paraId="23D0A352" w14:textId="77777777" w:rsidR="00212B8F" w:rsidRPr="00212B8F" w:rsidRDefault="00212B8F" w:rsidP="00212B8F">
      <w:pPr>
        <w:shd w:val="clear" w:color="auto" w:fill="FFFFFF"/>
        <w:spacing w:after="150"/>
        <w:jc w:val="both"/>
        <w:rPr>
          <w:b/>
          <w:bCs/>
          <w:sz w:val="19"/>
          <w:szCs w:val="19"/>
          <w:lang w:val="it-IT" w:eastAsia="en-IN"/>
        </w:rPr>
      </w:pPr>
    </w:p>
    <w:p w14:paraId="16164C9F" w14:textId="77777777" w:rsidR="008A55B5" w:rsidRPr="00351E9B" w:rsidRDefault="00212B8F" w:rsidP="00212B8F">
      <w:pPr>
        <w:shd w:val="clear" w:color="auto" w:fill="FFFFFF"/>
        <w:spacing w:after="150"/>
        <w:jc w:val="both"/>
        <w:rPr>
          <w:rFonts w:eastAsia="MS Mincho"/>
          <w:sz w:val="19"/>
          <w:szCs w:val="19"/>
        </w:rPr>
      </w:pPr>
      <w:r w:rsidRPr="00212B8F">
        <w:rPr>
          <w:sz w:val="19"/>
          <w:szCs w:val="19"/>
          <w:vertAlign w:val="superscript"/>
          <w:lang w:val="en-IN" w:eastAsia="en-IN"/>
        </w:rPr>
        <w:t>1</w:t>
      </w:r>
      <w:r w:rsidRPr="00212B8F">
        <w:rPr>
          <w:sz w:val="19"/>
          <w:szCs w:val="19"/>
          <w:lang w:val="en-IN" w:eastAsia="en-IN"/>
        </w:rPr>
        <w:t xml:space="preserve">Department of </w:t>
      </w:r>
      <w:proofErr w:type="spellStart"/>
      <w:r w:rsidRPr="00212B8F">
        <w:rPr>
          <w:sz w:val="19"/>
          <w:szCs w:val="19"/>
          <w:lang w:val="en-IN" w:eastAsia="en-IN"/>
        </w:rPr>
        <w:t>Agrifood</w:t>
      </w:r>
      <w:proofErr w:type="spellEnd"/>
      <w:r w:rsidRPr="00212B8F">
        <w:rPr>
          <w:sz w:val="19"/>
          <w:szCs w:val="19"/>
          <w:lang w:val="en-IN" w:eastAsia="en-IN"/>
        </w:rPr>
        <w:t xml:space="preserve">, Environmental and Animal Science, University of Udine, via </w:t>
      </w:r>
      <w:proofErr w:type="spellStart"/>
      <w:r w:rsidRPr="00212B8F">
        <w:rPr>
          <w:sz w:val="19"/>
          <w:szCs w:val="19"/>
          <w:lang w:val="en-IN" w:eastAsia="en-IN"/>
        </w:rPr>
        <w:t>Cotonificio</w:t>
      </w:r>
      <w:proofErr w:type="spellEnd"/>
      <w:r w:rsidRPr="00212B8F">
        <w:rPr>
          <w:sz w:val="19"/>
          <w:szCs w:val="19"/>
          <w:lang w:val="en-IN" w:eastAsia="en-IN"/>
        </w:rPr>
        <w:t xml:space="preserve"> 108, 33100, Udine, Italy; </w:t>
      </w:r>
    </w:p>
    <w:p w14:paraId="70861C57" w14:textId="77777777" w:rsidR="00861508" w:rsidRPr="0005164C" w:rsidRDefault="00861508">
      <w:pPr>
        <w:rPr>
          <w:rFonts w:eastAsia="MS Mincho"/>
          <w:sz w:val="19"/>
          <w:szCs w:val="19"/>
        </w:rPr>
      </w:pPr>
    </w:p>
    <w:p w14:paraId="63FA38BA" w14:textId="77777777" w:rsidR="00812538" w:rsidRDefault="00812538" w:rsidP="00812538">
      <w:pPr>
        <w:jc w:val="both"/>
        <w:rPr>
          <w:rFonts w:eastAsia="MS Mincho"/>
          <w:sz w:val="19"/>
          <w:szCs w:val="19"/>
        </w:rPr>
      </w:pPr>
    </w:p>
    <w:p w14:paraId="115F32FB" w14:textId="77777777"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14:paraId="0C3380E2" w14:textId="77777777" w:rsidR="003C0794" w:rsidRPr="0005164C" w:rsidRDefault="009D49B8"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t xml:space="preserve">Keywords: </w:t>
      </w:r>
      <w:r w:rsidR="003F2950" w:rsidRPr="003F2950">
        <w:rPr>
          <w:bCs w:val="0"/>
          <w:i w:val="0"/>
          <w:iCs w:val="0"/>
          <w:noProof w:val="0"/>
          <w:sz w:val="19"/>
          <w:szCs w:val="19"/>
          <w:lang w:val="en-IN" w:eastAsia="en-IN"/>
        </w:rPr>
        <w:t>Deep Eutectic Solvents; Biosensors; DNA; Enzymes; MIPs; Aptamers; Nanomaterials.</w:t>
      </w:r>
    </w:p>
    <w:p w14:paraId="2EE40C55" w14:textId="77777777" w:rsidR="003C0794" w:rsidRPr="0005164C" w:rsidRDefault="003C0794" w:rsidP="003C0794">
      <w:pPr>
        <w:pStyle w:val="keywords"/>
        <w:ind w:firstLine="0"/>
        <w:rPr>
          <w:b w:val="0"/>
          <w:bCs w:val="0"/>
          <w:i w:val="0"/>
          <w:iCs w:val="0"/>
          <w:noProof w:val="0"/>
          <w:sz w:val="19"/>
          <w:szCs w:val="19"/>
          <w:lang w:val="en-IN" w:eastAsia="en-IN"/>
        </w:rPr>
      </w:pPr>
    </w:p>
    <w:p w14:paraId="7DB9F57D" w14:textId="77777777" w:rsidR="008A55B5" w:rsidRPr="0005164C" w:rsidRDefault="003F2950" w:rsidP="00861508">
      <w:pPr>
        <w:pStyle w:val="keywords"/>
        <w:numPr>
          <w:ilvl w:val="0"/>
          <w:numId w:val="22"/>
        </w:numPr>
        <w:rPr>
          <w:bCs w:val="0"/>
          <w:i w:val="0"/>
          <w:iCs w:val="0"/>
          <w:noProof w:val="0"/>
          <w:sz w:val="19"/>
          <w:szCs w:val="19"/>
          <w:lang w:val="en-IN" w:eastAsia="en-IN"/>
        </w:rPr>
      </w:pPr>
      <w:r>
        <w:rPr>
          <w:bCs w:val="0"/>
          <w:i w:val="0"/>
          <w:iCs w:val="0"/>
          <w:noProof w:val="0"/>
          <w:sz w:val="19"/>
          <w:szCs w:val="19"/>
          <w:lang w:val="en-IN" w:eastAsia="en-IN"/>
        </w:rPr>
        <w:t>Introduction</w:t>
      </w:r>
    </w:p>
    <w:p w14:paraId="620BA9BB" w14:textId="77777777" w:rsidR="00883A50" w:rsidRDefault="003F2950" w:rsidP="00883A50">
      <w:pPr>
        <w:jc w:val="both"/>
        <w:rPr>
          <w:sz w:val="19"/>
          <w:szCs w:val="19"/>
          <w:lang w:val="en-IN" w:eastAsia="en-IN"/>
        </w:rPr>
      </w:pPr>
      <w:r w:rsidRPr="003F2950">
        <w:rPr>
          <w:sz w:val="19"/>
          <w:szCs w:val="19"/>
          <w:lang w:val="en-IN" w:eastAsia="en-IN"/>
        </w:rPr>
        <w:t>Lately a new class of solvents, called Deep Eutectic Solvents (DESs), has been successfully employed in different research fields. In 2004 Abbott et al. described the generation of eutectic mixtures as complexes formed between halide salts and a range of compounds such as amides and carboxylic acids (Abbott et al., 2004). The eutectic mixtures can be simply prepared by mixing a Hydrogen Bond Acceptor (HBA) with a Hydrogen Bond Donor (HBD) at a temperature of about 80 °C. They have found application in different research fields, for instance they have been employed in organic synthesis, electrochemistry and bio-catalysis, showing improved biodegradability and lower toxicity compared to other solvents</w:t>
      </w:r>
      <w:r w:rsidR="00240F16">
        <w:rPr>
          <w:sz w:val="19"/>
          <w:szCs w:val="19"/>
          <w:lang w:val="en-IN" w:eastAsia="en-IN"/>
        </w:rPr>
        <w:t xml:space="preserve"> (Liu et al., 2015)</w:t>
      </w:r>
      <w:r w:rsidRPr="003F2950">
        <w:rPr>
          <w:sz w:val="19"/>
          <w:szCs w:val="19"/>
          <w:lang w:val="en-IN" w:eastAsia="en-IN"/>
        </w:rPr>
        <w:t>. We consider</w:t>
      </w:r>
      <w:r>
        <w:rPr>
          <w:sz w:val="19"/>
          <w:szCs w:val="19"/>
          <w:lang w:val="en-IN" w:eastAsia="en-IN"/>
        </w:rPr>
        <w:t>ed</w:t>
      </w:r>
      <w:r w:rsidRPr="003F2950">
        <w:rPr>
          <w:sz w:val="19"/>
          <w:szCs w:val="19"/>
          <w:lang w:val="en-IN" w:eastAsia="en-IN"/>
        </w:rPr>
        <w:t xml:space="preserve"> the emerging interest in different applications of this green class of solvents and the possibility of their use for the improvement of biosensors performances. We point out some promising examples of approaches for the assembly of biosensors exploiting their compelling characteristics</w:t>
      </w:r>
      <w:r w:rsidR="00240F16">
        <w:rPr>
          <w:sz w:val="19"/>
          <w:szCs w:val="19"/>
          <w:lang w:val="en-IN" w:eastAsia="en-IN"/>
        </w:rPr>
        <w:t xml:space="preserve"> (</w:t>
      </w:r>
      <w:proofErr w:type="spellStart"/>
      <w:r w:rsidR="00240F16">
        <w:rPr>
          <w:sz w:val="19"/>
          <w:szCs w:val="19"/>
          <w:lang w:val="en-IN" w:eastAsia="en-IN"/>
        </w:rPr>
        <w:t>Svigelj</w:t>
      </w:r>
      <w:proofErr w:type="spellEnd"/>
      <w:r w:rsidR="00240F16">
        <w:rPr>
          <w:sz w:val="19"/>
          <w:szCs w:val="19"/>
          <w:lang w:val="en-IN" w:eastAsia="en-IN"/>
        </w:rPr>
        <w:t xml:space="preserve"> et al., 2020)</w:t>
      </w:r>
      <w:r w:rsidRPr="003F2950">
        <w:rPr>
          <w:sz w:val="19"/>
          <w:szCs w:val="19"/>
          <w:lang w:val="en-IN" w:eastAsia="en-IN"/>
        </w:rPr>
        <w:t xml:space="preserve">. </w:t>
      </w:r>
      <w:r>
        <w:rPr>
          <w:sz w:val="19"/>
          <w:szCs w:val="19"/>
          <w:lang w:val="en-IN" w:eastAsia="en-IN"/>
        </w:rPr>
        <w:t>The</w:t>
      </w:r>
      <w:r w:rsidRPr="003F2950">
        <w:rPr>
          <w:sz w:val="19"/>
          <w:szCs w:val="19"/>
          <w:lang w:val="en-IN" w:eastAsia="en-IN"/>
        </w:rPr>
        <w:t xml:space="preserve"> extensive ability of DESs to solubilize a wide range of molecules provide the possibility to set up new devices even for analytes that are usually insoluble and difficult to quantify</w:t>
      </w:r>
      <w:r w:rsidR="00C35120">
        <w:rPr>
          <w:sz w:val="19"/>
          <w:szCs w:val="19"/>
          <w:lang w:val="en-IN" w:eastAsia="en-IN"/>
        </w:rPr>
        <w:t>, such as gluten in food.</w:t>
      </w:r>
    </w:p>
    <w:p w14:paraId="747B455F" w14:textId="77777777" w:rsidR="00C35120" w:rsidRDefault="00C35120" w:rsidP="00883A50">
      <w:pPr>
        <w:jc w:val="both"/>
        <w:rPr>
          <w:sz w:val="19"/>
          <w:szCs w:val="19"/>
          <w:lang w:val="en-IN" w:eastAsia="en-IN"/>
        </w:rPr>
      </w:pPr>
    </w:p>
    <w:p w14:paraId="38213091" w14:textId="77777777"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14:paraId="6C51099C" w14:textId="77777777" w:rsidR="00861508" w:rsidRPr="0005164C" w:rsidRDefault="00861508" w:rsidP="00861508">
      <w:pPr>
        <w:rPr>
          <w:sz w:val="19"/>
          <w:szCs w:val="19"/>
        </w:rPr>
      </w:pPr>
    </w:p>
    <w:p w14:paraId="7BEA84D4" w14:textId="462F75AB" w:rsidR="003C0794" w:rsidRDefault="00B624B5" w:rsidP="003C0794">
      <w:pPr>
        <w:pStyle w:val="Corpotesto"/>
        <w:ind w:firstLine="0"/>
        <w:rPr>
          <w:sz w:val="19"/>
          <w:szCs w:val="19"/>
        </w:rPr>
      </w:pPr>
      <w:r>
        <w:rPr>
          <w:noProof/>
        </w:rPr>
        <w:drawing>
          <wp:inline distT="0" distB="0" distL="0" distR="0" wp14:anchorId="3ACAF1B3" wp14:editId="142B9639">
            <wp:extent cx="2506134" cy="250215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508934" cy="2504951"/>
                    </a:xfrm>
                    <a:prstGeom prst="rect">
                      <a:avLst/>
                    </a:prstGeom>
                  </pic:spPr>
                </pic:pic>
              </a:graphicData>
            </a:graphic>
          </wp:inline>
        </w:drawing>
      </w:r>
    </w:p>
    <w:p w14:paraId="25C20A19" w14:textId="77777777" w:rsidR="00B624B5" w:rsidRPr="0005164C" w:rsidRDefault="00B624B5" w:rsidP="003C0794">
      <w:pPr>
        <w:pStyle w:val="Corpotesto"/>
        <w:ind w:firstLine="0"/>
        <w:rPr>
          <w:sz w:val="19"/>
          <w:szCs w:val="19"/>
        </w:rPr>
      </w:pPr>
    </w:p>
    <w:p w14:paraId="6EF6AD3A" w14:textId="77777777" w:rsidR="003C0794" w:rsidRPr="0005164C" w:rsidRDefault="003C0794" w:rsidP="003C0794">
      <w:pPr>
        <w:pStyle w:val="Corpotesto"/>
        <w:jc w:val="left"/>
        <w:rPr>
          <w:sz w:val="19"/>
          <w:szCs w:val="19"/>
        </w:rPr>
      </w:pPr>
    </w:p>
    <w:p w14:paraId="08607FC9" w14:textId="77777777" w:rsidR="003C0794" w:rsidRPr="0005164C" w:rsidRDefault="003C0794" w:rsidP="00861508">
      <w:pPr>
        <w:pStyle w:val="Corpotesto"/>
        <w:numPr>
          <w:ilvl w:val="0"/>
          <w:numId w:val="22"/>
        </w:numPr>
        <w:jc w:val="left"/>
        <w:rPr>
          <w:b/>
          <w:sz w:val="19"/>
          <w:szCs w:val="19"/>
        </w:rPr>
      </w:pPr>
      <w:r w:rsidRPr="0005164C">
        <w:rPr>
          <w:b/>
          <w:sz w:val="19"/>
          <w:szCs w:val="19"/>
        </w:rPr>
        <w:t>Reference</w:t>
      </w:r>
      <w:r w:rsidR="00240F16">
        <w:rPr>
          <w:b/>
          <w:sz w:val="19"/>
          <w:szCs w:val="19"/>
        </w:rPr>
        <w:t>s</w:t>
      </w:r>
      <w:r w:rsidRPr="0005164C">
        <w:rPr>
          <w:b/>
          <w:sz w:val="19"/>
          <w:szCs w:val="19"/>
        </w:rPr>
        <w:t>:</w:t>
      </w:r>
    </w:p>
    <w:p w14:paraId="79130347" w14:textId="77777777" w:rsidR="009D49B8" w:rsidRDefault="00240F16" w:rsidP="00240F16">
      <w:pPr>
        <w:numPr>
          <w:ilvl w:val="0"/>
          <w:numId w:val="24"/>
        </w:numPr>
        <w:shd w:val="clear" w:color="auto" w:fill="FFFFFF"/>
        <w:spacing w:before="100" w:beforeAutospacing="1" w:after="120"/>
        <w:jc w:val="both"/>
        <w:rPr>
          <w:sz w:val="19"/>
          <w:szCs w:val="19"/>
          <w:lang w:val="en-IN" w:eastAsia="en-IN"/>
        </w:rPr>
      </w:pPr>
      <w:bookmarkStart w:id="0" w:name="2"/>
      <w:bookmarkEnd w:id="0"/>
      <w:r w:rsidRPr="00240F16">
        <w:rPr>
          <w:sz w:val="19"/>
          <w:szCs w:val="19"/>
          <w:lang w:val="en-IN" w:eastAsia="en-IN"/>
        </w:rPr>
        <w:t>Abbott, A.P., Boothby, D., Capper, G., Davies, D.L., Rasheed, R.K., 2004. Deep eutectic solvents formed between choline chloride and carboxylic acids: versatile alternatives to ionic liquids. J. Am. Chem. Soc. 126, 9142–9147.</w:t>
      </w:r>
    </w:p>
    <w:p w14:paraId="6971C303" w14:textId="77777777" w:rsidR="009D49B8" w:rsidRDefault="00240F16" w:rsidP="00240F16">
      <w:pPr>
        <w:numPr>
          <w:ilvl w:val="0"/>
          <w:numId w:val="16"/>
        </w:numPr>
        <w:shd w:val="clear" w:color="auto" w:fill="FFFFFF"/>
        <w:spacing w:before="100" w:beforeAutospacing="1" w:after="120"/>
        <w:jc w:val="both"/>
        <w:rPr>
          <w:sz w:val="19"/>
          <w:szCs w:val="19"/>
          <w:lang w:val="en-IN" w:eastAsia="en-IN"/>
        </w:rPr>
      </w:pPr>
      <w:r w:rsidRPr="00240F16">
        <w:rPr>
          <w:sz w:val="19"/>
          <w:szCs w:val="19"/>
          <w:lang w:val="en-IN" w:eastAsia="en-IN"/>
        </w:rPr>
        <w:t xml:space="preserve">Liu, Y., Friesen, J.B., McAlpine, J.B., </w:t>
      </w:r>
      <w:proofErr w:type="spellStart"/>
      <w:r w:rsidRPr="00240F16">
        <w:rPr>
          <w:sz w:val="19"/>
          <w:szCs w:val="19"/>
          <w:lang w:val="en-IN" w:eastAsia="en-IN"/>
        </w:rPr>
        <w:t>Lankin</w:t>
      </w:r>
      <w:proofErr w:type="spellEnd"/>
      <w:r w:rsidRPr="00240F16">
        <w:rPr>
          <w:sz w:val="19"/>
          <w:szCs w:val="19"/>
          <w:lang w:val="en-IN" w:eastAsia="en-IN"/>
        </w:rPr>
        <w:t>, D.C., Chen, S.-N., Pauli, G.F., 2018. Natural deep eutectic solvents: properties, applications, and perspectives. J. Nat. Prod. 81, 679–690.</w:t>
      </w:r>
    </w:p>
    <w:p w14:paraId="4C532C9F" w14:textId="77777777" w:rsidR="00351E9B" w:rsidRDefault="00240F16" w:rsidP="00240F16">
      <w:pPr>
        <w:numPr>
          <w:ilvl w:val="0"/>
          <w:numId w:val="16"/>
        </w:numPr>
        <w:shd w:val="clear" w:color="auto" w:fill="FFFFFF"/>
        <w:spacing w:before="100" w:beforeAutospacing="1" w:after="120"/>
        <w:jc w:val="both"/>
        <w:rPr>
          <w:sz w:val="19"/>
          <w:szCs w:val="19"/>
          <w:lang w:val="en-IN" w:eastAsia="en-IN"/>
        </w:rPr>
      </w:pPr>
      <w:proofErr w:type="spellStart"/>
      <w:r w:rsidRPr="00240F16">
        <w:rPr>
          <w:sz w:val="19"/>
          <w:szCs w:val="19"/>
          <w:lang w:val="en-IN" w:eastAsia="en-IN"/>
        </w:rPr>
        <w:t>Svigelj</w:t>
      </w:r>
      <w:proofErr w:type="spellEnd"/>
      <w:r w:rsidRPr="00240F16">
        <w:rPr>
          <w:sz w:val="19"/>
          <w:szCs w:val="19"/>
          <w:lang w:val="en-IN" w:eastAsia="en-IN"/>
        </w:rPr>
        <w:t xml:space="preserve">, R., </w:t>
      </w:r>
      <w:proofErr w:type="spellStart"/>
      <w:r w:rsidRPr="00240F16">
        <w:rPr>
          <w:sz w:val="19"/>
          <w:szCs w:val="19"/>
          <w:lang w:val="en-IN" w:eastAsia="en-IN"/>
        </w:rPr>
        <w:t>Dossi</w:t>
      </w:r>
      <w:proofErr w:type="spellEnd"/>
      <w:r w:rsidRPr="00240F16">
        <w:rPr>
          <w:sz w:val="19"/>
          <w:szCs w:val="19"/>
          <w:lang w:val="en-IN" w:eastAsia="en-IN"/>
        </w:rPr>
        <w:t xml:space="preserve">, N., </w:t>
      </w:r>
      <w:proofErr w:type="spellStart"/>
      <w:r w:rsidRPr="00240F16">
        <w:rPr>
          <w:sz w:val="19"/>
          <w:szCs w:val="19"/>
          <w:lang w:val="en-IN" w:eastAsia="en-IN"/>
        </w:rPr>
        <w:t>Pizzolato</w:t>
      </w:r>
      <w:proofErr w:type="spellEnd"/>
      <w:r w:rsidRPr="00240F16">
        <w:rPr>
          <w:sz w:val="19"/>
          <w:szCs w:val="19"/>
          <w:lang w:val="en-IN" w:eastAsia="en-IN"/>
        </w:rPr>
        <w:t xml:space="preserve">, S., </w:t>
      </w:r>
      <w:proofErr w:type="spellStart"/>
      <w:r w:rsidRPr="00240F16">
        <w:rPr>
          <w:sz w:val="19"/>
          <w:szCs w:val="19"/>
          <w:lang w:val="en-IN" w:eastAsia="en-IN"/>
        </w:rPr>
        <w:t>Toniolo</w:t>
      </w:r>
      <w:proofErr w:type="spellEnd"/>
      <w:r w:rsidRPr="00240F16">
        <w:rPr>
          <w:sz w:val="19"/>
          <w:szCs w:val="19"/>
          <w:lang w:val="en-IN" w:eastAsia="en-IN"/>
        </w:rPr>
        <w:t xml:space="preserve">, R., Miranda-Castro, R., de-los-Santos-Álvarez, N., Lobo-Castañón, M.J., 2020. Truncated aptamers as selective receptors in a gluten sensor supporting direct measurement in a deep eutectic solvent. </w:t>
      </w:r>
      <w:proofErr w:type="spellStart"/>
      <w:r w:rsidRPr="00240F16">
        <w:rPr>
          <w:sz w:val="19"/>
          <w:szCs w:val="19"/>
          <w:lang w:val="en-IN" w:eastAsia="en-IN"/>
        </w:rPr>
        <w:t>Biosens</w:t>
      </w:r>
      <w:proofErr w:type="spellEnd"/>
      <w:r w:rsidRPr="00240F16">
        <w:rPr>
          <w:sz w:val="19"/>
          <w:szCs w:val="19"/>
          <w:lang w:val="en-IN" w:eastAsia="en-IN"/>
        </w:rPr>
        <w:t xml:space="preserve">. </w:t>
      </w:r>
      <w:proofErr w:type="spellStart"/>
      <w:r w:rsidRPr="00240F16">
        <w:rPr>
          <w:sz w:val="19"/>
          <w:szCs w:val="19"/>
          <w:lang w:val="en-IN" w:eastAsia="en-IN"/>
        </w:rPr>
        <w:t>Bioelectron</w:t>
      </w:r>
      <w:proofErr w:type="spellEnd"/>
      <w:r w:rsidRPr="00240F16">
        <w:rPr>
          <w:sz w:val="19"/>
          <w:szCs w:val="19"/>
          <w:lang w:val="en-IN" w:eastAsia="en-IN"/>
        </w:rPr>
        <w:t>. 165, 112339.</w:t>
      </w:r>
    </w:p>
    <w:p w14:paraId="2DE3A422" w14:textId="77777777"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14:paraId="111C7410" w14:textId="77777777" w:rsidR="00861508" w:rsidRDefault="00C01BF6" w:rsidP="00861508">
      <w:pPr>
        <w:jc w:val="both"/>
        <w:rPr>
          <w:sz w:val="19"/>
          <w:szCs w:val="19"/>
        </w:rPr>
      </w:pPr>
      <w:proofErr w:type="spellStart"/>
      <w:r>
        <w:rPr>
          <w:sz w:val="19"/>
          <w:szCs w:val="19"/>
        </w:rPr>
        <w:t>Rossella</w:t>
      </w:r>
      <w:proofErr w:type="spellEnd"/>
      <w:r>
        <w:rPr>
          <w:sz w:val="19"/>
          <w:szCs w:val="19"/>
        </w:rPr>
        <w:t xml:space="preserve"> </w:t>
      </w:r>
      <w:proofErr w:type="spellStart"/>
      <w:r>
        <w:rPr>
          <w:sz w:val="19"/>
          <w:szCs w:val="19"/>
        </w:rPr>
        <w:t>Svigelj</w:t>
      </w:r>
      <w:proofErr w:type="spellEnd"/>
      <w:r w:rsidR="00861508" w:rsidRPr="0005164C">
        <w:rPr>
          <w:sz w:val="19"/>
          <w:szCs w:val="19"/>
        </w:rPr>
        <w:t xml:space="preserve"> has completed h</w:t>
      </w:r>
      <w:r>
        <w:rPr>
          <w:sz w:val="19"/>
          <w:szCs w:val="19"/>
        </w:rPr>
        <w:t>er</w:t>
      </w:r>
      <w:r w:rsidR="00861508" w:rsidRPr="0005164C">
        <w:rPr>
          <w:sz w:val="19"/>
          <w:szCs w:val="19"/>
        </w:rPr>
        <w:t xml:space="preserve"> PhD </w:t>
      </w:r>
      <w:r>
        <w:rPr>
          <w:sz w:val="19"/>
          <w:szCs w:val="19"/>
        </w:rPr>
        <w:t>in 2019</w:t>
      </w:r>
      <w:r w:rsidR="00861508" w:rsidRPr="0005164C">
        <w:rPr>
          <w:sz w:val="19"/>
          <w:szCs w:val="19"/>
        </w:rPr>
        <w:t xml:space="preserve"> from University</w:t>
      </w:r>
      <w:r>
        <w:rPr>
          <w:sz w:val="19"/>
          <w:szCs w:val="19"/>
        </w:rPr>
        <w:t xml:space="preserve"> of Udine. She is now a postdoctoral researcher in the group of analytical chemistry of the University of Udine. Her research activity is focused on </w:t>
      </w:r>
      <w:r w:rsidR="00E642A3">
        <w:rPr>
          <w:sz w:val="19"/>
          <w:szCs w:val="19"/>
        </w:rPr>
        <w:t xml:space="preserve">the development of </w:t>
      </w:r>
      <w:r>
        <w:rPr>
          <w:sz w:val="19"/>
          <w:szCs w:val="19"/>
        </w:rPr>
        <w:t xml:space="preserve">new aptamer-based biosensors </w:t>
      </w:r>
      <w:r w:rsidR="00C35120" w:rsidRPr="00C35120">
        <w:rPr>
          <w:sz w:val="19"/>
          <w:szCs w:val="19"/>
        </w:rPr>
        <w:t>for the detection of allergens and emerging contaminants in food</w:t>
      </w:r>
      <w:r w:rsidR="00C35120">
        <w:rPr>
          <w:sz w:val="19"/>
          <w:szCs w:val="19"/>
        </w:rPr>
        <w:t>.</w:t>
      </w:r>
    </w:p>
    <w:p w14:paraId="0B9D36C6" w14:textId="77777777" w:rsidR="00C35120" w:rsidRPr="0005164C" w:rsidRDefault="00C35120" w:rsidP="00861508">
      <w:pPr>
        <w:jc w:val="both"/>
        <w:rPr>
          <w:rFonts w:eastAsia="MS PGothic"/>
          <w:b/>
          <w:sz w:val="19"/>
          <w:szCs w:val="19"/>
        </w:rPr>
      </w:pPr>
    </w:p>
    <w:p w14:paraId="294AFCCF" w14:textId="77777777"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14:paraId="3CD1517D" w14:textId="046B4D3B" w:rsidR="00272C82" w:rsidRPr="0005164C" w:rsidRDefault="00272C82" w:rsidP="00861508">
      <w:pPr>
        <w:autoSpaceDE w:val="0"/>
        <w:autoSpaceDN w:val="0"/>
        <w:adjustRightInd w:val="0"/>
        <w:jc w:val="left"/>
        <w:rPr>
          <w:sz w:val="19"/>
          <w:szCs w:val="19"/>
          <w:lang w:val="en-NZ"/>
        </w:rPr>
      </w:pPr>
    </w:p>
    <w:p w14:paraId="76D1883A" w14:textId="49495FCA" w:rsidR="00C01BF6" w:rsidRDefault="00C01BF6" w:rsidP="00861508">
      <w:pPr>
        <w:autoSpaceDE w:val="0"/>
        <w:autoSpaceDN w:val="0"/>
        <w:adjustRightInd w:val="0"/>
        <w:jc w:val="left"/>
        <w:rPr>
          <w:sz w:val="19"/>
          <w:szCs w:val="19"/>
          <w:lang w:val="en-NZ"/>
        </w:rPr>
      </w:pPr>
    </w:p>
    <w:p w14:paraId="5F640D0F" w14:textId="77777777" w:rsidR="00C35120" w:rsidRPr="0005164C" w:rsidRDefault="00C35120" w:rsidP="00861508">
      <w:pPr>
        <w:autoSpaceDE w:val="0"/>
        <w:autoSpaceDN w:val="0"/>
        <w:adjustRightInd w:val="0"/>
        <w:jc w:val="left"/>
        <w:rPr>
          <w:sz w:val="19"/>
          <w:szCs w:val="19"/>
          <w:lang w:val="en-NZ"/>
        </w:rPr>
      </w:pPr>
    </w:p>
    <w:p w14:paraId="1C55D92F" w14:textId="77777777" w:rsidR="00272C82" w:rsidRDefault="00272C82" w:rsidP="00861508">
      <w:pPr>
        <w:autoSpaceDE w:val="0"/>
        <w:autoSpaceDN w:val="0"/>
        <w:adjustRightInd w:val="0"/>
        <w:jc w:val="left"/>
        <w:rPr>
          <w:sz w:val="19"/>
          <w:szCs w:val="19"/>
          <w:lang w:val="en-NZ"/>
        </w:rPr>
      </w:pPr>
      <w:r w:rsidRPr="0005164C">
        <w:rPr>
          <w:sz w:val="19"/>
          <w:szCs w:val="19"/>
          <w:lang w:val="en-NZ"/>
        </w:rPr>
        <w:t>Full Name:</w:t>
      </w:r>
      <w:r w:rsidR="003F2950">
        <w:rPr>
          <w:sz w:val="19"/>
          <w:szCs w:val="19"/>
          <w:lang w:val="en-NZ"/>
        </w:rPr>
        <w:t xml:space="preserve"> </w:t>
      </w:r>
      <w:proofErr w:type="spellStart"/>
      <w:r w:rsidR="003F2950">
        <w:rPr>
          <w:sz w:val="19"/>
          <w:szCs w:val="19"/>
          <w:lang w:val="en-NZ"/>
        </w:rPr>
        <w:t>Rossella</w:t>
      </w:r>
      <w:proofErr w:type="spellEnd"/>
      <w:r w:rsidR="003F2950">
        <w:rPr>
          <w:sz w:val="19"/>
          <w:szCs w:val="19"/>
          <w:lang w:val="en-NZ"/>
        </w:rPr>
        <w:t xml:space="preserve"> </w:t>
      </w:r>
      <w:proofErr w:type="spellStart"/>
      <w:r w:rsidR="003F2950">
        <w:rPr>
          <w:sz w:val="19"/>
          <w:szCs w:val="19"/>
          <w:lang w:val="en-NZ"/>
        </w:rPr>
        <w:t>Svigelj</w:t>
      </w:r>
      <w:proofErr w:type="spellEnd"/>
    </w:p>
    <w:p w14:paraId="2479A6A9" w14:textId="77777777" w:rsidR="00861508" w:rsidRPr="0005164C" w:rsidRDefault="00861508" w:rsidP="00861508">
      <w:pPr>
        <w:autoSpaceDE w:val="0"/>
        <w:autoSpaceDN w:val="0"/>
        <w:adjustRightInd w:val="0"/>
        <w:jc w:val="left"/>
        <w:rPr>
          <w:b/>
          <w:sz w:val="19"/>
          <w:szCs w:val="19"/>
          <w:lang w:val="en-NZ"/>
        </w:rPr>
      </w:pPr>
      <w:r w:rsidRPr="0005164C">
        <w:rPr>
          <w:sz w:val="19"/>
          <w:szCs w:val="19"/>
          <w:lang w:val="en-NZ"/>
        </w:rPr>
        <w:t>Contact number:</w:t>
      </w:r>
      <w:r w:rsidR="003F2950">
        <w:rPr>
          <w:sz w:val="19"/>
          <w:szCs w:val="19"/>
          <w:lang w:val="en-NZ"/>
        </w:rPr>
        <w:t>+39 3405286623</w:t>
      </w:r>
      <w:r w:rsidRPr="0005164C">
        <w:rPr>
          <w:sz w:val="19"/>
          <w:szCs w:val="19"/>
          <w:lang w:val="en-NZ"/>
        </w:rPr>
        <w:br/>
        <w:t>Linked In account:</w:t>
      </w:r>
      <w:r w:rsidR="003F2950">
        <w:t xml:space="preserve"> </w:t>
      </w:r>
      <w:r w:rsidR="003F2950" w:rsidRPr="00F055AC">
        <w:t>https://www.linkedin.com/in/rossellasvigelj/</w:t>
      </w:r>
    </w:p>
    <w:p w14:paraId="69FB58EA" w14:textId="77777777" w:rsidR="00861508" w:rsidRPr="00C35120" w:rsidRDefault="00861508" w:rsidP="00861508">
      <w:pPr>
        <w:autoSpaceDE w:val="0"/>
        <w:autoSpaceDN w:val="0"/>
        <w:adjustRightInd w:val="0"/>
        <w:jc w:val="left"/>
        <w:rPr>
          <w:sz w:val="19"/>
          <w:szCs w:val="19"/>
          <w:lang w:val="en-NZ"/>
        </w:rPr>
      </w:pPr>
      <w:r w:rsidRPr="0005164C">
        <w:rPr>
          <w:sz w:val="19"/>
          <w:szCs w:val="19"/>
          <w:lang w:val="en-NZ"/>
        </w:rPr>
        <w:t>Session name/ number:</w:t>
      </w:r>
      <w:r w:rsidRPr="0005164C">
        <w:rPr>
          <w:sz w:val="19"/>
          <w:szCs w:val="19"/>
          <w:lang w:val="en-NZ"/>
        </w:rPr>
        <w:br/>
        <w:t>Category: Oral presentation</w:t>
      </w:r>
    </w:p>
    <w:sectPr w:rsidR="00861508" w:rsidRPr="00C35120"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Symbol">
    <w:panose1 w:val="05050102010706020507"/>
    <w:charset w:val="4D"/>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Gautami">
    <w:panose1 w:val="020B0502040204020203"/>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15:restartNumberingAfterBreak="0">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sz w:val="16"/>
        <w:szCs w:val="16"/>
        <w:vertAlign w:val="superscript"/>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15:restartNumberingAfterBreak="0">
    <w:nsid w:val="4189603E"/>
    <w:multiLevelType w:val="multilevel"/>
    <w:tmpl w:val="1E7CD33E"/>
    <w:lvl w:ilvl="0">
      <w:start w:val="1"/>
      <w:numFmt w:val="upperRoman"/>
      <w:pStyle w:val="Titolo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Titolo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Titolo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Titolo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15:restartNumberingAfterBreak="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15:restartNumberingAfterBreak="0">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3"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5" w15:restartNumberingAfterBreak="0">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6"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3"/>
  </w:num>
  <w:num w:numId="3">
    <w:abstractNumId w:val="4"/>
  </w:num>
  <w:num w:numId="4">
    <w:abstractNumId w:val="8"/>
  </w:num>
  <w:num w:numId="5">
    <w:abstractNumId w:val="8"/>
  </w:num>
  <w:num w:numId="6">
    <w:abstractNumId w:val="8"/>
  </w:num>
  <w:num w:numId="7">
    <w:abstractNumId w:val="8"/>
  </w:num>
  <w:num w:numId="8">
    <w:abstractNumId w:val="10"/>
  </w:num>
  <w:num w:numId="9">
    <w:abstractNumId w:val="14"/>
  </w:num>
  <w:num w:numId="10">
    <w:abstractNumId w:val="7"/>
  </w:num>
  <w:num w:numId="11">
    <w:abstractNumId w:val="3"/>
  </w:num>
  <w:num w:numId="12">
    <w:abstractNumId w:val="17"/>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5"/>
  </w:num>
  <w:num w:numId="24">
    <w:abstractNumId w:val="16"/>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3"/>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9A6"/>
    <w:rsid w:val="0004390D"/>
    <w:rsid w:val="0005164C"/>
    <w:rsid w:val="000B4641"/>
    <w:rsid w:val="0010711E"/>
    <w:rsid w:val="00127EDD"/>
    <w:rsid w:val="002043C0"/>
    <w:rsid w:val="00212B8F"/>
    <w:rsid w:val="00240F16"/>
    <w:rsid w:val="00272C82"/>
    <w:rsid w:val="00276735"/>
    <w:rsid w:val="002864A3"/>
    <w:rsid w:val="002B3B81"/>
    <w:rsid w:val="00351E9B"/>
    <w:rsid w:val="003A47B5"/>
    <w:rsid w:val="003A59A6"/>
    <w:rsid w:val="003C0794"/>
    <w:rsid w:val="003F2950"/>
    <w:rsid w:val="004059FE"/>
    <w:rsid w:val="004227FF"/>
    <w:rsid w:val="004233AE"/>
    <w:rsid w:val="004445B3"/>
    <w:rsid w:val="004D6237"/>
    <w:rsid w:val="005B520E"/>
    <w:rsid w:val="005B535B"/>
    <w:rsid w:val="006108A4"/>
    <w:rsid w:val="00663E31"/>
    <w:rsid w:val="006C4648"/>
    <w:rsid w:val="0072064C"/>
    <w:rsid w:val="007442B3"/>
    <w:rsid w:val="00753F7B"/>
    <w:rsid w:val="0078398E"/>
    <w:rsid w:val="00787C5A"/>
    <w:rsid w:val="007919DE"/>
    <w:rsid w:val="007C0308"/>
    <w:rsid w:val="008014D2"/>
    <w:rsid w:val="008054BC"/>
    <w:rsid w:val="00812538"/>
    <w:rsid w:val="00841147"/>
    <w:rsid w:val="00861508"/>
    <w:rsid w:val="00883A50"/>
    <w:rsid w:val="008A55B5"/>
    <w:rsid w:val="008A75C8"/>
    <w:rsid w:val="00907876"/>
    <w:rsid w:val="0097508D"/>
    <w:rsid w:val="009D49B8"/>
    <w:rsid w:val="00A510F7"/>
    <w:rsid w:val="00A82067"/>
    <w:rsid w:val="00AC6519"/>
    <w:rsid w:val="00AF145F"/>
    <w:rsid w:val="00B624B5"/>
    <w:rsid w:val="00BF5E8C"/>
    <w:rsid w:val="00C01BF6"/>
    <w:rsid w:val="00C35120"/>
    <w:rsid w:val="00CB1404"/>
    <w:rsid w:val="00CB66E6"/>
    <w:rsid w:val="00D319E1"/>
    <w:rsid w:val="00D9156D"/>
    <w:rsid w:val="00E177DC"/>
    <w:rsid w:val="00E642A3"/>
    <w:rsid w:val="00E8514D"/>
    <w:rsid w:val="00E91219"/>
    <w:rsid w:val="00E918C4"/>
    <w:rsid w:val="00EA506F"/>
    <w:rsid w:val="00EE4362"/>
    <w:rsid w:val="00EF18D7"/>
    <w:rsid w:val="00EF1E8A"/>
    <w:rsid w:val="00EF3A1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8F0A5C"/>
  <w15:chartTrackingRefBased/>
  <w15:docId w15:val="{D9F0851D-4FD0-174D-82C1-66D925DC9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B535B"/>
    <w:pPr>
      <w:jc w:val="center"/>
    </w:pPr>
    <w:rPr>
      <w:rFonts w:ascii="Times New Roman" w:hAnsi="Times New Roman"/>
      <w:lang w:val="en-US" w:eastAsia="en-US"/>
    </w:rPr>
  </w:style>
  <w:style w:type="paragraph" w:styleId="Titolo1">
    <w:name w:val="heading 1"/>
    <w:basedOn w:val="Normale"/>
    <w:next w:val="Normale"/>
    <w:link w:val="Titolo1Carattere"/>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Titolo2">
    <w:name w:val="heading 2"/>
    <w:basedOn w:val="Normale"/>
    <w:next w:val="Normale"/>
    <w:link w:val="Titolo2Carattere"/>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Titolo3">
    <w:name w:val="heading 3"/>
    <w:basedOn w:val="Normale"/>
    <w:next w:val="Normale"/>
    <w:link w:val="Titolo3Carattere"/>
    <w:uiPriority w:val="99"/>
    <w:qFormat/>
    <w:rsid w:val="004059FE"/>
    <w:pPr>
      <w:numPr>
        <w:ilvl w:val="2"/>
        <w:numId w:val="6"/>
      </w:numPr>
      <w:spacing w:line="240" w:lineRule="exact"/>
      <w:ind w:firstLine="288"/>
      <w:jc w:val="both"/>
      <w:outlineLvl w:val="2"/>
    </w:pPr>
    <w:rPr>
      <w:rFonts w:eastAsia="MS Mincho"/>
      <w:i/>
      <w:iCs/>
      <w:noProof/>
    </w:rPr>
  </w:style>
  <w:style w:type="paragraph" w:styleId="Titolo4">
    <w:name w:val="heading 4"/>
    <w:basedOn w:val="Normale"/>
    <w:next w:val="Normale"/>
    <w:link w:val="Titolo4Carattere"/>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Titolo5">
    <w:name w:val="heading 5"/>
    <w:basedOn w:val="Normale"/>
    <w:next w:val="Normale"/>
    <w:link w:val="Titolo5Carattere"/>
    <w:uiPriority w:val="99"/>
    <w:qFormat/>
    <w:pPr>
      <w:tabs>
        <w:tab w:val="left" w:pos="360"/>
      </w:tabs>
      <w:spacing w:before="160" w:after="80"/>
      <w:outlineLvl w:val="4"/>
    </w:pPr>
    <w:rPr>
      <w:smallCaps/>
      <w:noProof/>
    </w:rPr>
  </w:style>
  <w:style w:type="character" w:default="1" w:styleId="Carpredefinitoparagrafo">
    <w:name w:val="Default Paragraph Font"/>
    <w:uiPriority w:val="99"/>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locked/>
    <w:rsid w:val="00CB1404"/>
    <w:rPr>
      <w:rFonts w:ascii="Times New Roman" w:eastAsia="MS Mincho" w:hAnsi="Times New Roman"/>
      <w:smallCaps/>
      <w:noProof/>
    </w:rPr>
  </w:style>
  <w:style w:type="character" w:customStyle="1" w:styleId="Titolo2Carattere">
    <w:name w:val="Titolo 2 Carattere"/>
    <w:link w:val="Titolo2"/>
    <w:uiPriority w:val="99"/>
    <w:locked/>
    <w:rsid w:val="00EF3A1A"/>
    <w:rPr>
      <w:rFonts w:ascii="Times New Roman" w:eastAsia="MS Mincho" w:hAnsi="Times New Roman" w:cs="Times New Roman"/>
      <w:i/>
      <w:iCs/>
      <w:noProof/>
      <w:sz w:val="20"/>
      <w:szCs w:val="20"/>
    </w:rPr>
  </w:style>
  <w:style w:type="character" w:customStyle="1" w:styleId="Titolo3Carattere">
    <w:name w:val="Titolo 3 Carattere"/>
    <w:link w:val="Titolo3"/>
    <w:uiPriority w:val="99"/>
    <w:locked/>
    <w:rsid w:val="004059FE"/>
    <w:rPr>
      <w:rFonts w:ascii="Times New Roman" w:eastAsia="MS Mincho" w:hAnsi="Times New Roman" w:cs="Times New Roman"/>
      <w:i/>
      <w:iCs/>
      <w:noProof/>
      <w:sz w:val="20"/>
      <w:szCs w:val="20"/>
    </w:rPr>
  </w:style>
  <w:style w:type="character" w:customStyle="1" w:styleId="Titolo4Carattere">
    <w:name w:val="Titolo 4 Carattere"/>
    <w:link w:val="Titolo4"/>
    <w:uiPriority w:val="99"/>
    <w:locked/>
    <w:rsid w:val="004059FE"/>
    <w:rPr>
      <w:rFonts w:ascii="Times New Roman" w:eastAsia="MS Mincho" w:hAnsi="Times New Roman" w:cs="Times New Roman"/>
      <w:i/>
      <w:iCs/>
      <w:noProof/>
      <w:sz w:val="20"/>
      <w:szCs w:val="20"/>
    </w:rPr>
  </w:style>
  <w:style w:type="character" w:customStyle="1" w:styleId="Titolo5Carattere">
    <w:name w:val="Titolo 5 Carattere"/>
    <w:link w:val="Titolo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rPr>
  </w:style>
  <w:style w:type="paragraph" w:customStyle="1" w:styleId="Affiliation">
    <w:name w:val="Affiliation"/>
    <w:uiPriority w:val="99"/>
    <w:pPr>
      <w:jc w:val="center"/>
    </w:pPr>
    <w:rPr>
      <w:rFonts w:ascii="Times New Roman" w:hAnsi="Times New Roman"/>
      <w:lang w:val="en-US" w:eastAsia="en-US"/>
    </w:rPr>
  </w:style>
  <w:style w:type="paragraph" w:customStyle="1" w:styleId="Author">
    <w:name w:val="Author"/>
    <w:uiPriority w:val="99"/>
    <w:pPr>
      <w:spacing w:before="360" w:after="40"/>
      <w:jc w:val="center"/>
    </w:pPr>
    <w:rPr>
      <w:rFonts w:ascii="Times New Roman" w:hAnsi="Times New Roman"/>
      <w:noProof/>
      <w:sz w:val="22"/>
      <w:szCs w:val="22"/>
      <w:lang w:val="en-US" w:eastAsia="en-US"/>
    </w:rPr>
  </w:style>
  <w:style w:type="paragraph" w:styleId="Corpotesto">
    <w:name w:val="Body Text"/>
    <w:basedOn w:val="Normale"/>
    <w:link w:val="CorpotestoCarattere"/>
    <w:uiPriority w:val="99"/>
    <w:rsid w:val="00753F7B"/>
    <w:pPr>
      <w:tabs>
        <w:tab w:val="left" w:pos="288"/>
      </w:tabs>
      <w:spacing w:after="120" w:line="228" w:lineRule="auto"/>
      <w:ind w:firstLine="288"/>
      <w:jc w:val="both"/>
    </w:pPr>
    <w:rPr>
      <w:rFonts w:eastAsia="MS Mincho"/>
      <w:spacing w:val="-1"/>
    </w:rPr>
  </w:style>
  <w:style w:type="character" w:customStyle="1" w:styleId="CorpotestoCarattere">
    <w:name w:val="Corpo testo Carattere"/>
    <w:link w:val="Corpotesto"/>
    <w:uiPriority w:val="99"/>
    <w:locked/>
    <w:rsid w:val="00753F7B"/>
    <w:rPr>
      <w:rFonts w:ascii="Times New Roman" w:eastAsia="MS Mincho" w:hAnsi="Times New Roman" w:cs="Times New Roman"/>
      <w:sz w:val="20"/>
      <w:szCs w:val="20"/>
    </w:rPr>
  </w:style>
  <w:style w:type="paragraph" w:customStyle="1" w:styleId="bulletlist">
    <w:name w:val="bullet list"/>
    <w:basedOn w:val="Corpotesto"/>
    <w:rsid w:val="008054BC"/>
    <w:pPr>
      <w:numPr>
        <w:numId w:val="1"/>
      </w:numPr>
      <w:tabs>
        <w:tab w:val="clear" w:pos="648"/>
      </w:tabs>
      <w:ind w:left="576" w:hanging="288"/>
    </w:pPr>
  </w:style>
  <w:style w:type="paragraph" w:customStyle="1" w:styleId="equation">
    <w:name w:val="equation"/>
    <w:basedOn w:val="Normale"/>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eastAsia="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val="en-US"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val="en-US" w:eastAsia="en-US"/>
    </w:rPr>
  </w:style>
  <w:style w:type="paragraph" w:customStyle="1" w:styleId="tablecolhead">
    <w:name w:val="table col head"/>
    <w:basedOn w:val="Normale"/>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val="en-US"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val="en-US" w:eastAsia="en-US"/>
    </w:rPr>
  </w:style>
  <w:style w:type="paragraph" w:styleId="NormaleWeb">
    <w:name w:val="Normal (Web)"/>
    <w:basedOn w:val="Normale"/>
    <w:uiPriority w:val="99"/>
    <w:semiHidden/>
    <w:unhideWhenUsed/>
    <w:rsid w:val="003C0794"/>
    <w:pPr>
      <w:spacing w:before="100" w:beforeAutospacing="1" w:after="100" w:afterAutospacing="1"/>
      <w:jc w:val="left"/>
    </w:pPr>
    <w:rPr>
      <w:sz w:val="24"/>
      <w:szCs w:val="24"/>
      <w:lang w:val="en-IN" w:eastAsia="en-IN"/>
    </w:rPr>
  </w:style>
  <w:style w:type="character" w:styleId="Enfasigrassetto">
    <w:name w:val="Strong"/>
    <w:uiPriority w:val="22"/>
    <w:qFormat/>
    <w:rsid w:val="003C0794"/>
    <w:rPr>
      <w:b/>
      <w:bCs/>
    </w:rPr>
  </w:style>
  <w:style w:type="character" w:styleId="Collegamentoipertestuale">
    <w:name w:val="Hyperlink"/>
    <w:uiPriority w:val="99"/>
    <w:semiHidden/>
    <w:unhideWhenUsed/>
    <w:rsid w:val="003C0794"/>
    <w:rPr>
      <w:color w:val="0000FF"/>
      <w:u w:val="single"/>
    </w:rPr>
  </w:style>
  <w:style w:type="character" w:styleId="Enfasicorsivo">
    <w:name w:val="Emphasis"/>
    <w:uiPriority w:val="20"/>
    <w:qFormat/>
    <w:rsid w:val="003C0794"/>
    <w:rPr>
      <w:i/>
      <w:iCs/>
    </w:rPr>
  </w:style>
  <w:style w:type="paragraph" w:styleId="Testocommento">
    <w:name w:val="annotation text"/>
    <w:basedOn w:val="Normale"/>
    <w:link w:val="TestocommentoCarattere"/>
    <w:uiPriority w:val="99"/>
    <w:semiHidden/>
    <w:unhideWhenUsed/>
    <w:rsid w:val="003C0794"/>
  </w:style>
  <w:style w:type="character" w:customStyle="1" w:styleId="TestocommentoCarattere">
    <w:name w:val="Testo commento Carattere"/>
    <w:link w:val="Testocommento"/>
    <w:uiPriority w:val="99"/>
    <w:semiHidden/>
    <w:rsid w:val="003C0794"/>
    <w:rPr>
      <w:rFonts w:ascii="Times New Roman" w:hAnsi="Times New Roman"/>
      <w:lang w:val="en-US" w:eastAsia="en-US"/>
    </w:rPr>
  </w:style>
  <w:style w:type="paragraph" w:styleId="Soggettocommento">
    <w:name w:val="annotation subject"/>
    <w:basedOn w:val="Testocommento"/>
    <w:next w:val="Testocommento"/>
    <w:link w:val="SoggettocommentoCarattere"/>
    <w:uiPriority w:val="99"/>
    <w:semiHidden/>
    <w:rsid w:val="003C0794"/>
    <w:pPr>
      <w:jc w:val="left"/>
    </w:pPr>
    <w:rPr>
      <w:rFonts w:cs="Gautami"/>
      <w:b/>
      <w:bCs/>
      <w:lang w:val="x-none" w:eastAsia="x-none" w:bidi="te-IN"/>
    </w:rPr>
  </w:style>
  <w:style w:type="character" w:customStyle="1" w:styleId="SoggettocommentoCarattere">
    <w:name w:val="Soggetto commento Carattere"/>
    <w:link w:val="Soggettocommento"/>
    <w:uiPriority w:val="99"/>
    <w:semiHidden/>
    <w:rsid w:val="003C0794"/>
    <w:rPr>
      <w:rFonts w:ascii="Times New Roman" w:hAnsi="Times New Roman" w:cs="Gautami"/>
      <w:b/>
      <w:bCs/>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 w:id="1509099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440</Words>
  <Characters>2511</Characters>
  <Application>Microsoft Office Word</Application>
  <DocSecurity>0</DocSecurity>
  <Lines>20</Lines>
  <Paragraphs>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IEEE</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Rossella Svigelj</cp:lastModifiedBy>
  <cp:revision>4</cp:revision>
  <cp:lastPrinted>2021-04-28T07:51:00Z</cp:lastPrinted>
  <dcterms:created xsi:type="dcterms:W3CDTF">2021-04-28T07:52:00Z</dcterms:created>
  <dcterms:modified xsi:type="dcterms:W3CDTF">2021-04-28T07:54:00Z</dcterms:modified>
</cp:coreProperties>
</file>