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7C9" w:rsidRPr="004B126D" w:rsidRDefault="009B2572" w:rsidP="004B126D">
      <w:pPr>
        <w:spacing w:before="240"/>
        <w:jc w:val="both"/>
        <w:rPr>
          <w:rFonts w:asciiTheme="majorHAnsi" w:hAnsiTheme="majorHAnsi" w:cstheme="majorHAnsi"/>
          <w:b/>
          <w:sz w:val="36"/>
          <w:szCs w:val="36"/>
        </w:rPr>
      </w:pPr>
      <w:r w:rsidRPr="004B126D">
        <w:rPr>
          <w:rFonts w:asciiTheme="majorHAnsi" w:hAnsiTheme="majorHAnsi" w:cstheme="majorHAnsi"/>
          <w:b/>
          <w:sz w:val="36"/>
          <w:szCs w:val="36"/>
        </w:rPr>
        <w:t>Ultrasensitive fluorogenic detection of miR-144 with hybridization chain reaction and silver nanoclusters</w:t>
      </w:r>
    </w:p>
    <w:p w:rsidR="004B126D" w:rsidRDefault="004B126D" w:rsidP="004B126D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Authors</w:t>
      </w:r>
    </w:p>
    <w:p w:rsidR="009B2572" w:rsidRPr="004B126D" w:rsidRDefault="009B2572" w:rsidP="004B126D">
      <w:pPr>
        <w:spacing w:before="240"/>
        <w:jc w:val="both"/>
        <w:rPr>
          <w:rFonts w:cstheme="minorHAnsi"/>
          <w:sz w:val="24"/>
          <w:szCs w:val="24"/>
        </w:rPr>
      </w:pPr>
      <w:r w:rsidRPr="004B126D">
        <w:rPr>
          <w:rFonts w:cstheme="minorHAnsi"/>
          <w:sz w:val="24"/>
          <w:szCs w:val="24"/>
        </w:rPr>
        <w:t>Wong Zheng Wei; New Siu Yee</w:t>
      </w:r>
    </w:p>
    <w:p w:rsidR="009B2572" w:rsidRPr="004B126D" w:rsidRDefault="004B126D" w:rsidP="004B126D">
      <w:pPr>
        <w:pStyle w:val="Default"/>
        <w:spacing w:before="24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Affiliations</w:t>
      </w:r>
    </w:p>
    <w:p w:rsidR="009B2572" w:rsidRPr="004B126D" w:rsidRDefault="009B2572" w:rsidP="004B126D">
      <w:pPr>
        <w:spacing w:before="240"/>
        <w:jc w:val="both"/>
        <w:rPr>
          <w:rFonts w:cstheme="minorHAnsi"/>
          <w:sz w:val="24"/>
          <w:szCs w:val="24"/>
        </w:rPr>
      </w:pPr>
      <w:r w:rsidRPr="004B126D">
        <w:rPr>
          <w:rFonts w:cstheme="minorHAnsi"/>
          <w:sz w:val="24"/>
          <w:szCs w:val="24"/>
        </w:rPr>
        <w:t>School of Pharmacy, Faculty of Science and Engineering, Un</w:t>
      </w:r>
      <w:r w:rsidR="004B126D">
        <w:rPr>
          <w:rFonts w:cstheme="minorHAnsi"/>
          <w:sz w:val="24"/>
          <w:szCs w:val="24"/>
        </w:rPr>
        <w:t xml:space="preserve">iversity of Nottingham Malaysia </w:t>
      </w:r>
      <w:r w:rsidRPr="004B126D">
        <w:rPr>
          <w:rFonts w:cstheme="minorHAnsi"/>
          <w:sz w:val="24"/>
          <w:szCs w:val="24"/>
        </w:rPr>
        <w:t xml:space="preserve">Campus, Jalan </w:t>
      </w:r>
      <w:proofErr w:type="spellStart"/>
      <w:r w:rsidRPr="004B126D">
        <w:rPr>
          <w:rFonts w:cstheme="minorHAnsi"/>
          <w:sz w:val="24"/>
          <w:szCs w:val="24"/>
        </w:rPr>
        <w:t>Broga</w:t>
      </w:r>
      <w:proofErr w:type="spellEnd"/>
      <w:r w:rsidRPr="004B126D">
        <w:rPr>
          <w:rFonts w:cstheme="minorHAnsi"/>
          <w:sz w:val="24"/>
          <w:szCs w:val="24"/>
        </w:rPr>
        <w:t xml:space="preserve">, 43500 </w:t>
      </w:r>
      <w:proofErr w:type="spellStart"/>
      <w:r w:rsidRPr="004B126D">
        <w:rPr>
          <w:rFonts w:cstheme="minorHAnsi"/>
          <w:sz w:val="24"/>
          <w:szCs w:val="24"/>
        </w:rPr>
        <w:t>Semenyih</w:t>
      </w:r>
      <w:proofErr w:type="spellEnd"/>
      <w:r w:rsidRPr="004B126D">
        <w:rPr>
          <w:rFonts w:cstheme="minorHAnsi"/>
          <w:sz w:val="24"/>
          <w:szCs w:val="24"/>
        </w:rPr>
        <w:t>, Selangor</w:t>
      </w:r>
    </w:p>
    <w:p w:rsidR="009B2572" w:rsidRPr="004B126D" w:rsidRDefault="009B2572" w:rsidP="004B126D">
      <w:pPr>
        <w:spacing w:before="240"/>
        <w:jc w:val="both"/>
        <w:rPr>
          <w:rFonts w:cstheme="minorHAnsi"/>
          <w:b/>
          <w:sz w:val="24"/>
          <w:szCs w:val="24"/>
        </w:rPr>
      </w:pPr>
      <w:r w:rsidRPr="004B126D">
        <w:rPr>
          <w:rFonts w:cstheme="minorHAnsi"/>
          <w:b/>
          <w:sz w:val="24"/>
          <w:szCs w:val="24"/>
        </w:rPr>
        <w:t>Abstract</w:t>
      </w:r>
    </w:p>
    <w:p w:rsidR="004B126D" w:rsidRPr="004B126D" w:rsidRDefault="004B126D" w:rsidP="004B126D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Problem statement: </w:t>
      </w:r>
      <w:r w:rsidRPr="004B126D">
        <w:rPr>
          <w:rFonts w:cstheme="minorHAnsi"/>
          <w:sz w:val="24"/>
          <w:szCs w:val="24"/>
        </w:rPr>
        <w:t>MicroRNAs</w:t>
      </w:r>
      <w:r w:rsidR="009B2572" w:rsidRPr="004B126D">
        <w:rPr>
          <w:rFonts w:cstheme="minorHAnsi"/>
          <w:sz w:val="24"/>
          <w:szCs w:val="24"/>
        </w:rPr>
        <w:t xml:space="preserve"> (miRs) are short single-stranded RNAs that regulate the pathophysiological processes in the body. </w:t>
      </w:r>
      <w:r w:rsidRPr="004B126D">
        <w:rPr>
          <w:rFonts w:cstheme="minorHAnsi"/>
          <w:sz w:val="24"/>
          <w:szCs w:val="24"/>
        </w:rPr>
        <w:t>On the onset</w:t>
      </w:r>
      <w:r w:rsidR="009B2572" w:rsidRPr="004B126D">
        <w:rPr>
          <w:rFonts w:cstheme="minorHAnsi"/>
          <w:sz w:val="24"/>
          <w:szCs w:val="24"/>
        </w:rPr>
        <w:t xml:space="preserve"> of nasopharyngeal cancer, miR-144 is commonly dysregulated, which makes it a potential biomarker to improve current cancer diagnostics. This research proposes the development of a </w:t>
      </w:r>
      <w:r w:rsidRPr="004B126D">
        <w:rPr>
          <w:rFonts w:cstheme="minorHAnsi"/>
          <w:sz w:val="24"/>
          <w:szCs w:val="24"/>
        </w:rPr>
        <w:t xml:space="preserve">highly sensitive fluorescence biosensing system for the detection of miR-144 based on target-triggered </w:t>
      </w:r>
      <w:r w:rsidRPr="004B126D">
        <w:rPr>
          <w:rFonts w:cstheme="minorHAnsi"/>
          <w:sz w:val="24"/>
          <w:szCs w:val="24"/>
        </w:rPr>
        <w:t xml:space="preserve">isothermal </w:t>
      </w:r>
      <w:r w:rsidRPr="004B126D">
        <w:rPr>
          <w:rFonts w:cstheme="minorHAnsi"/>
          <w:sz w:val="24"/>
          <w:szCs w:val="24"/>
        </w:rPr>
        <w:t>hybridization chain reaction (HCR)</w:t>
      </w:r>
      <w:r w:rsidRPr="004B126D">
        <w:rPr>
          <w:rFonts w:cstheme="minorHAnsi"/>
          <w:sz w:val="24"/>
          <w:szCs w:val="24"/>
        </w:rPr>
        <w:t xml:space="preserve"> and label-free fluorogenic silver nanoclusters (AgNCs)</w:t>
      </w:r>
      <w:r w:rsidRPr="004B126D">
        <w:rPr>
          <w:rFonts w:cstheme="minorHAnsi"/>
          <w:sz w:val="24"/>
          <w:szCs w:val="24"/>
        </w:rPr>
        <w:t>.</w:t>
      </w:r>
    </w:p>
    <w:p w:rsidR="004B126D" w:rsidRPr="004B126D" w:rsidRDefault="004B126D" w:rsidP="004B126D">
      <w:pPr>
        <w:pStyle w:val="Default"/>
        <w:spacing w:before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Methodology:</w:t>
      </w:r>
      <w:r w:rsidRPr="004B126D">
        <w:rPr>
          <w:rFonts w:asciiTheme="minorHAnsi" w:hAnsiTheme="minorHAnsi" w:cstheme="minorHAnsi"/>
        </w:rPr>
        <w:t xml:space="preserve"> The DNA hairpins for HCR </w:t>
      </w:r>
      <w:r w:rsidRPr="004B126D">
        <w:rPr>
          <w:rFonts w:asciiTheme="minorHAnsi" w:hAnsiTheme="minorHAnsi" w:cstheme="minorHAnsi"/>
        </w:rPr>
        <w:t>are</w:t>
      </w:r>
      <w:r w:rsidRPr="004B126D">
        <w:rPr>
          <w:rFonts w:asciiTheme="minorHAnsi" w:hAnsiTheme="minorHAnsi" w:cstheme="minorHAnsi"/>
        </w:rPr>
        <w:t xml:space="preserve"> d</w:t>
      </w:r>
      <w:r w:rsidRPr="004B126D">
        <w:rPr>
          <w:rFonts w:asciiTheme="minorHAnsi" w:hAnsiTheme="minorHAnsi" w:cstheme="minorHAnsi"/>
        </w:rPr>
        <w:t>esigned to specifically recognise miR-144</w:t>
      </w:r>
      <w:r w:rsidRPr="004B126D">
        <w:rPr>
          <w:rFonts w:asciiTheme="minorHAnsi" w:hAnsiTheme="minorHAnsi" w:cstheme="minorHAnsi"/>
        </w:rPr>
        <w:t xml:space="preserve">, and </w:t>
      </w:r>
      <w:r w:rsidRPr="004B126D">
        <w:rPr>
          <w:rFonts w:asciiTheme="minorHAnsi" w:hAnsiTheme="minorHAnsi" w:cstheme="minorHAnsi"/>
        </w:rPr>
        <w:t>host</w:t>
      </w:r>
      <w:r w:rsidRPr="004B126D">
        <w:rPr>
          <w:rFonts w:asciiTheme="minorHAnsi" w:hAnsiTheme="minorHAnsi" w:cstheme="minorHAnsi"/>
        </w:rPr>
        <w:t xml:space="preserve"> the AgNCs forming site. </w:t>
      </w:r>
      <w:r w:rsidRPr="004B126D">
        <w:rPr>
          <w:rFonts w:asciiTheme="minorHAnsi" w:hAnsiTheme="minorHAnsi" w:cstheme="minorHAnsi"/>
        </w:rPr>
        <w:t>miR-144 recognition opens t</w:t>
      </w:r>
      <w:r w:rsidRPr="004B126D">
        <w:rPr>
          <w:rFonts w:asciiTheme="minorHAnsi" w:hAnsiTheme="minorHAnsi" w:cstheme="minorHAnsi"/>
        </w:rPr>
        <w:t xml:space="preserve">hese DNA hairpins </w:t>
      </w:r>
      <w:r w:rsidRPr="004B126D">
        <w:rPr>
          <w:rFonts w:asciiTheme="minorHAnsi" w:hAnsiTheme="minorHAnsi" w:cstheme="minorHAnsi"/>
        </w:rPr>
        <w:t>at</w:t>
      </w:r>
      <w:r w:rsidRPr="004B126D">
        <w:rPr>
          <w:rFonts w:asciiTheme="minorHAnsi" w:hAnsiTheme="minorHAnsi" w:cstheme="minorHAnsi"/>
        </w:rPr>
        <w:t xml:space="preserve"> ambient conditions, </w:t>
      </w:r>
      <w:r w:rsidRPr="004B126D">
        <w:rPr>
          <w:rFonts w:asciiTheme="minorHAnsi" w:hAnsiTheme="minorHAnsi" w:cstheme="minorHAnsi"/>
        </w:rPr>
        <w:t>to initiate a series of DNA hybridization events</w:t>
      </w:r>
      <w:r w:rsidRPr="004B126D">
        <w:rPr>
          <w:rFonts w:asciiTheme="minorHAnsi" w:hAnsiTheme="minorHAnsi" w:cstheme="minorHAnsi"/>
        </w:rPr>
        <w:t xml:space="preserve">. This </w:t>
      </w:r>
      <w:r w:rsidRPr="004B126D">
        <w:rPr>
          <w:rFonts w:asciiTheme="minorHAnsi" w:hAnsiTheme="minorHAnsi" w:cstheme="minorHAnsi"/>
        </w:rPr>
        <w:t>is</w:t>
      </w:r>
      <w:r w:rsidRPr="004B126D">
        <w:rPr>
          <w:rFonts w:asciiTheme="minorHAnsi" w:hAnsiTheme="minorHAnsi" w:cstheme="minorHAnsi"/>
        </w:rPr>
        <w:t xml:space="preserve"> followed by the preparation of AgNCs</w:t>
      </w:r>
      <w:r w:rsidRPr="004B126D">
        <w:rPr>
          <w:rFonts w:asciiTheme="minorHAnsi" w:hAnsiTheme="minorHAnsi" w:cstheme="minorHAnsi"/>
        </w:rPr>
        <w:t xml:space="preserve"> into the one-pot system to generate an amplified fluorescence signal</w:t>
      </w:r>
      <w:r w:rsidRPr="004B126D">
        <w:rPr>
          <w:rFonts w:asciiTheme="minorHAnsi" w:hAnsiTheme="minorHAnsi" w:cstheme="minorHAnsi"/>
        </w:rPr>
        <w:t xml:space="preserve">. </w:t>
      </w:r>
    </w:p>
    <w:p w:rsidR="004B126D" w:rsidRPr="004B126D" w:rsidRDefault="004B126D" w:rsidP="004B126D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Findings: </w:t>
      </w:r>
      <w:r w:rsidRPr="004B126D">
        <w:rPr>
          <w:rFonts w:cstheme="minorHAnsi"/>
          <w:sz w:val="24"/>
          <w:szCs w:val="24"/>
        </w:rPr>
        <w:t>Due to the design of the DNA hairpin monomers that promotes dual fluorescence signal output, the fluorescence biosensor exhibits ultrasensitive detection of miR-144, with a detection limit of 0.8 pM. Our proposed biosensor also displays selectivity towards the target miR-144, and is able to detect single base mismatch in the target sequence.</w:t>
      </w:r>
    </w:p>
    <w:p w:rsidR="008E0BAC" w:rsidRPr="008E0BAC" w:rsidRDefault="004B126D" w:rsidP="004B126D">
      <w:pPr>
        <w:spacing w:before="240"/>
        <w:jc w:val="both"/>
        <w:rPr>
          <w:rFonts w:cstheme="minorHAnsi"/>
          <w:sz w:val="24"/>
          <w:szCs w:val="24"/>
        </w:rPr>
      </w:pPr>
      <w:r w:rsidRPr="004B126D">
        <w:rPr>
          <w:rFonts w:cstheme="minorHAnsi"/>
          <w:sz w:val="24"/>
          <w:szCs w:val="24"/>
        </w:rPr>
        <w:t>Conclusion:</w:t>
      </w:r>
      <w:r w:rsidRPr="004B126D">
        <w:rPr>
          <w:rFonts w:cstheme="minorHAnsi"/>
          <w:sz w:val="24"/>
          <w:szCs w:val="24"/>
        </w:rPr>
        <w:t xml:space="preserve"> Our preliminary findings have shown promising progress in the development of a </w:t>
      </w:r>
      <w:r w:rsidRPr="004B126D">
        <w:rPr>
          <w:rFonts w:cstheme="minorHAnsi"/>
          <w:sz w:val="24"/>
          <w:szCs w:val="24"/>
        </w:rPr>
        <w:t>functional fluorescence</w:t>
      </w:r>
      <w:r w:rsidRPr="004B126D">
        <w:rPr>
          <w:rFonts w:cstheme="minorHAnsi"/>
          <w:sz w:val="24"/>
          <w:szCs w:val="24"/>
        </w:rPr>
        <w:t xml:space="preserve"> nanobiosensor for miR-144. Overall, it has the potential to improve cancer diagnostics with comparable sensitivity, at a fraction of cost, time and effort required.</w:t>
      </w:r>
      <w:r w:rsidRPr="004B126D">
        <w:rPr>
          <w:rFonts w:cstheme="minorHAnsi"/>
          <w:sz w:val="24"/>
          <w:szCs w:val="24"/>
        </w:rPr>
        <w:t xml:space="preserve"> Apart from that, t</w:t>
      </w:r>
      <w:r w:rsidRPr="004B126D">
        <w:rPr>
          <w:rFonts w:cstheme="minorHAnsi"/>
          <w:sz w:val="24"/>
          <w:szCs w:val="24"/>
        </w:rPr>
        <w:t>his sensing platform can be developed as a universal approach for fast, sensitive and accurate detection of nucleic acid-based mol</w:t>
      </w:r>
      <w:r w:rsidRPr="008E0BAC">
        <w:rPr>
          <w:rFonts w:cstheme="minorHAnsi"/>
          <w:sz w:val="24"/>
          <w:szCs w:val="24"/>
        </w:rPr>
        <w:t>ecules.</w:t>
      </w:r>
    </w:p>
    <w:p w:rsidR="004B126D" w:rsidRPr="008E0BAC" w:rsidRDefault="004B126D">
      <w:pPr>
        <w:rPr>
          <w:b/>
          <w:sz w:val="24"/>
          <w:szCs w:val="24"/>
        </w:rPr>
      </w:pPr>
      <w:r w:rsidRPr="008E0BAC">
        <w:rPr>
          <w:b/>
          <w:sz w:val="24"/>
          <w:szCs w:val="24"/>
        </w:rPr>
        <w:t>Image</w:t>
      </w:r>
    </w:p>
    <w:p w:rsidR="006465C9" w:rsidRPr="008E0BAC" w:rsidRDefault="008E0BAC">
      <w:pPr>
        <w:rPr>
          <w:sz w:val="24"/>
          <w:szCs w:val="24"/>
        </w:rPr>
      </w:pPr>
      <w:r>
        <w:rPr>
          <w:noProof/>
          <w:lang w:eastAsia="en-MY"/>
        </w:rPr>
        <w:drawing>
          <wp:inline distT="0" distB="0" distL="0" distR="0" wp14:anchorId="3FECBAC8" wp14:editId="6C6A1999">
            <wp:extent cx="3535891" cy="13335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8894" cy="134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65C9" w:rsidRPr="008E0B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72"/>
    <w:rsid w:val="000F768B"/>
    <w:rsid w:val="004B126D"/>
    <w:rsid w:val="005422E2"/>
    <w:rsid w:val="006465C9"/>
    <w:rsid w:val="008E0BAC"/>
    <w:rsid w:val="009B2572"/>
    <w:rsid w:val="00E1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EF8AA"/>
  <w15:chartTrackingRefBased/>
  <w15:docId w15:val="{C7247F09-2545-4E93-B88F-5F320213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B25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Wei Wong</dc:creator>
  <cp:keywords/>
  <dc:description/>
  <cp:lastModifiedBy>Zheng Wei Wong</cp:lastModifiedBy>
  <cp:revision>2</cp:revision>
  <dcterms:created xsi:type="dcterms:W3CDTF">2020-11-14T07:37:00Z</dcterms:created>
  <dcterms:modified xsi:type="dcterms:W3CDTF">2020-11-14T08:02:00Z</dcterms:modified>
</cp:coreProperties>
</file>