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41A88" w:rsidRDefault="00141A88">
      <w:pPr>
        <w:spacing w:line="200" w:lineRule="exact"/>
        <w:rPr>
          <w:sz w:val="24"/>
          <w:szCs w:val="24"/>
        </w:rPr>
      </w:pPr>
    </w:p>
    <w:p w:rsidR="00141A88" w:rsidRDefault="00141A88">
      <w:pPr>
        <w:spacing w:line="227" w:lineRule="exact"/>
        <w:rPr>
          <w:sz w:val="24"/>
          <w:szCs w:val="24"/>
        </w:rPr>
      </w:pPr>
    </w:p>
    <w:p w:rsidR="00141A88" w:rsidRPr="0060071D" w:rsidRDefault="00383119" w:rsidP="0060071D">
      <w:pPr>
        <w:spacing w:line="230" w:lineRule="auto"/>
        <w:ind w:right="480"/>
        <w:jc w:val="both"/>
        <w:rPr>
          <w:rFonts w:eastAsia="Times New Roman"/>
          <w:b/>
          <w:bCs/>
        </w:rPr>
      </w:pPr>
      <w:r>
        <w:rPr>
          <w:rFonts w:eastAsia="Times New Roman"/>
          <w:b/>
          <w:bCs/>
        </w:rPr>
        <w:t xml:space="preserve">Title: </w:t>
      </w:r>
      <w:r w:rsidR="0060071D" w:rsidRPr="0060071D">
        <w:rPr>
          <w:rFonts w:eastAsia="Times New Roman"/>
          <w:b/>
          <w:bCs/>
        </w:rPr>
        <w:t xml:space="preserve">Near field non-invasive electrophysiology </w:t>
      </w:r>
      <w:r w:rsidR="0060071D">
        <w:rPr>
          <w:rFonts w:eastAsia="Times New Roman"/>
          <w:b/>
          <w:bCs/>
        </w:rPr>
        <w:t xml:space="preserve">of </w:t>
      </w:r>
      <w:proofErr w:type="spellStart"/>
      <w:r w:rsidR="0060071D">
        <w:rPr>
          <w:rFonts w:eastAsia="Times New Roman"/>
          <w:b/>
          <w:bCs/>
        </w:rPr>
        <w:t>retrotrapezoid</w:t>
      </w:r>
      <w:proofErr w:type="spellEnd"/>
      <w:r w:rsidR="0060071D">
        <w:rPr>
          <w:rFonts w:eastAsia="Times New Roman"/>
          <w:b/>
          <w:bCs/>
        </w:rPr>
        <w:t xml:space="preserve"> nucleus using </w:t>
      </w:r>
      <w:r w:rsidR="0060071D" w:rsidRPr="0060071D">
        <w:rPr>
          <w:rFonts w:eastAsia="Times New Roman"/>
          <w:b/>
          <w:bCs/>
        </w:rPr>
        <w:t>amperometric cation sensor</w:t>
      </w:r>
    </w:p>
    <w:p w:rsidR="00141A88" w:rsidRDefault="0060071D" w:rsidP="0060071D">
      <w:pPr>
        <w:jc w:val="both"/>
        <w:rPr>
          <w:rFonts w:eastAsia="Times New Roman"/>
          <w:b/>
          <w:bCs/>
          <w:sz w:val="19"/>
          <w:szCs w:val="19"/>
        </w:rPr>
      </w:pPr>
      <w:r w:rsidRPr="0060071D">
        <w:rPr>
          <w:rFonts w:eastAsia="Times New Roman"/>
          <w:b/>
          <w:bCs/>
          <w:sz w:val="19"/>
          <w:szCs w:val="19"/>
        </w:rPr>
        <w:t>G</w:t>
      </w:r>
      <w:r>
        <w:rPr>
          <w:rFonts w:eastAsia="Times New Roman"/>
          <w:b/>
          <w:bCs/>
          <w:sz w:val="19"/>
          <w:szCs w:val="19"/>
        </w:rPr>
        <w:t>UPTA S</w:t>
      </w:r>
      <w:r w:rsidR="00383119">
        <w:rPr>
          <w:rFonts w:eastAsia="Times New Roman"/>
          <w:b/>
          <w:bCs/>
          <w:sz w:val="31"/>
          <w:szCs w:val="31"/>
          <w:vertAlign w:val="superscript"/>
        </w:rPr>
        <w:t>1</w:t>
      </w:r>
      <w:r w:rsidR="00383119">
        <w:rPr>
          <w:rFonts w:eastAsia="Times New Roman"/>
          <w:b/>
          <w:bCs/>
          <w:sz w:val="19"/>
          <w:szCs w:val="19"/>
        </w:rPr>
        <w:t>,</w:t>
      </w:r>
      <w:r>
        <w:rPr>
          <w:rFonts w:eastAsia="Times New Roman"/>
          <w:b/>
          <w:bCs/>
          <w:sz w:val="19"/>
          <w:szCs w:val="19"/>
        </w:rPr>
        <w:t xml:space="preserve"> OTERO JJ</w:t>
      </w:r>
      <w:hyperlink r:id="rId6" w:anchor="a1">
        <w:r>
          <w:rPr>
            <w:rFonts w:eastAsia="Times New Roman"/>
            <w:b/>
            <w:bCs/>
            <w:sz w:val="31"/>
            <w:szCs w:val="31"/>
            <w:vertAlign w:val="superscript"/>
          </w:rPr>
          <w:t>2</w:t>
        </w:r>
        <w:r w:rsidR="00383119">
          <w:rPr>
            <w:rFonts w:eastAsia="Times New Roman"/>
            <w:b/>
            <w:bCs/>
            <w:sz w:val="19"/>
            <w:szCs w:val="19"/>
          </w:rPr>
          <w:t xml:space="preserve">, </w:t>
        </w:r>
      </w:hyperlink>
      <w:r>
        <w:rPr>
          <w:rFonts w:eastAsia="Times New Roman"/>
          <w:b/>
          <w:bCs/>
          <w:sz w:val="19"/>
          <w:szCs w:val="19"/>
        </w:rPr>
        <w:t>SUNDARESAN VB</w:t>
      </w:r>
      <w:r w:rsidR="006F79F8">
        <w:rPr>
          <w:rFonts w:eastAsia="Times New Roman"/>
          <w:b/>
          <w:bCs/>
          <w:sz w:val="31"/>
          <w:szCs w:val="31"/>
          <w:vertAlign w:val="superscript"/>
        </w:rPr>
        <w:t>1</w:t>
      </w:r>
      <w:r w:rsidR="00383119">
        <w:rPr>
          <w:rFonts w:eastAsia="Times New Roman"/>
          <w:b/>
          <w:bCs/>
          <w:sz w:val="19"/>
          <w:szCs w:val="19"/>
        </w:rPr>
        <w:t>,</w:t>
      </w:r>
      <w:r>
        <w:rPr>
          <w:rFonts w:eastAsia="Times New Roman"/>
          <w:b/>
          <w:bCs/>
          <w:sz w:val="19"/>
          <w:szCs w:val="19"/>
        </w:rPr>
        <w:t xml:space="preserve"> CZEISLER CM</w:t>
      </w:r>
      <w:r w:rsidRPr="0060071D">
        <w:rPr>
          <w:rFonts w:eastAsia="Times New Roman"/>
          <w:b/>
          <w:bCs/>
          <w:sz w:val="31"/>
          <w:szCs w:val="31"/>
          <w:vertAlign w:val="superscript"/>
        </w:rPr>
        <w:t>3</w:t>
      </w:r>
    </w:p>
    <w:p w:rsidR="00141A88" w:rsidRDefault="00383119" w:rsidP="0060071D">
      <w:pPr>
        <w:spacing w:line="182" w:lineRule="auto"/>
        <w:jc w:val="both"/>
        <w:rPr>
          <w:sz w:val="20"/>
          <w:szCs w:val="20"/>
        </w:rPr>
      </w:pPr>
      <w:r>
        <w:rPr>
          <w:rFonts w:eastAsia="Times New Roman"/>
          <w:sz w:val="28"/>
          <w:szCs w:val="28"/>
          <w:vertAlign w:val="superscript"/>
        </w:rPr>
        <w:t>1</w:t>
      </w:r>
      <w:r w:rsidR="0060071D" w:rsidRPr="0060071D">
        <w:rPr>
          <w:rFonts w:eastAsia="Times New Roman"/>
          <w:sz w:val="18"/>
          <w:szCs w:val="18"/>
        </w:rPr>
        <w:t>Department of Mechanical and Aerospace Engineering, The Ohio State University, 201 W 19th Ave, Columbus, 43210, Ohio, United States</w:t>
      </w:r>
    </w:p>
    <w:p w:rsidR="00141A88" w:rsidRDefault="00383119" w:rsidP="0060071D">
      <w:pPr>
        <w:spacing w:line="181" w:lineRule="auto"/>
        <w:jc w:val="both"/>
        <w:rPr>
          <w:sz w:val="18"/>
        </w:rPr>
      </w:pPr>
      <w:r w:rsidRPr="0060071D">
        <w:rPr>
          <w:rFonts w:eastAsia="Times New Roman"/>
          <w:sz w:val="28"/>
          <w:szCs w:val="20"/>
          <w:vertAlign w:val="superscript"/>
        </w:rPr>
        <w:t>2</w:t>
      </w:r>
      <w:r w:rsidR="0060071D" w:rsidRPr="0060071D">
        <w:rPr>
          <w:sz w:val="18"/>
        </w:rPr>
        <w:t>Department of Pathology, Neuropathology, The Ohio State University, 333 W 10th Ave, Columbus, 43210, Ohio, United States</w:t>
      </w:r>
    </w:p>
    <w:p w:rsidR="0060071D" w:rsidRPr="0060071D" w:rsidRDefault="0060071D" w:rsidP="0060071D">
      <w:pPr>
        <w:spacing w:line="181" w:lineRule="auto"/>
        <w:jc w:val="both"/>
        <w:rPr>
          <w:szCs w:val="20"/>
        </w:rPr>
        <w:sectPr w:rsidR="0060071D" w:rsidRPr="0060071D">
          <w:pgSz w:w="11900" w:h="16834"/>
          <w:pgMar w:top="1070" w:right="719" w:bottom="0" w:left="740" w:header="0" w:footer="0" w:gutter="0"/>
          <w:cols w:space="720" w:equalWidth="0">
            <w:col w:w="10440"/>
          </w:cols>
        </w:sectPr>
      </w:pPr>
      <w:r w:rsidRPr="0060071D">
        <w:rPr>
          <w:rFonts w:eastAsia="Times New Roman"/>
          <w:sz w:val="28"/>
          <w:szCs w:val="20"/>
          <w:vertAlign w:val="superscript"/>
        </w:rPr>
        <w:t>3</w:t>
      </w:r>
      <w:r w:rsidRPr="0060071D">
        <w:rPr>
          <w:sz w:val="18"/>
        </w:rPr>
        <w:t>Division of Department of Pathology, The Ohio State University, 333 W 10th Ave, Columbus, 43210, Ohio, United States</w:t>
      </w:r>
    </w:p>
    <w:p w:rsidR="00141A88" w:rsidRDefault="00141A88">
      <w:pPr>
        <w:spacing w:line="200" w:lineRule="exact"/>
        <w:rPr>
          <w:sz w:val="24"/>
          <w:szCs w:val="24"/>
        </w:rPr>
      </w:pPr>
    </w:p>
    <w:p w:rsidR="00141A88" w:rsidRDefault="00141A88">
      <w:pPr>
        <w:spacing w:line="200" w:lineRule="exact"/>
        <w:rPr>
          <w:sz w:val="24"/>
          <w:szCs w:val="24"/>
        </w:rPr>
      </w:pPr>
    </w:p>
    <w:p w:rsidR="00141A88" w:rsidRDefault="00141A88">
      <w:pPr>
        <w:spacing w:line="351" w:lineRule="exact"/>
        <w:rPr>
          <w:sz w:val="24"/>
          <w:szCs w:val="24"/>
        </w:rPr>
      </w:pPr>
    </w:p>
    <w:p w:rsidR="00141A88" w:rsidRDefault="00383119">
      <w:pPr>
        <w:spacing w:line="234" w:lineRule="auto"/>
        <w:ind w:right="680"/>
        <w:rPr>
          <w:sz w:val="20"/>
          <w:szCs w:val="20"/>
        </w:rPr>
      </w:pPr>
      <w:r>
        <w:rPr>
          <w:rFonts w:eastAsia="Times New Roman"/>
          <w:b/>
          <w:bCs/>
          <w:sz w:val="19"/>
          <w:szCs w:val="19"/>
        </w:rPr>
        <w:t xml:space="preserve">Keywords: </w:t>
      </w:r>
      <w:r w:rsidR="0060071D" w:rsidRPr="0060071D">
        <w:rPr>
          <w:rFonts w:eastAsia="Times New Roman"/>
          <w:b/>
          <w:bCs/>
          <w:sz w:val="19"/>
          <w:szCs w:val="19"/>
        </w:rPr>
        <w:t>Conducting polymer</w:t>
      </w:r>
      <w:r>
        <w:rPr>
          <w:rFonts w:eastAsia="Times New Roman"/>
          <w:b/>
          <w:bCs/>
          <w:sz w:val="19"/>
          <w:szCs w:val="19"/>
        </w:rPr>
        <w:t xml:space="preserve">, </w:t>
      </w:r>
      <w:r w:rsidR="0060071D" w:rsidRPr="0060071D">
        <w:rPr>
          <w:rFonts w:eastAsia="Times New Roman"/>
          <w:b/>
          <w:bCs/>
          <w:sz w:val="19"/>
          <w:szCs w:val="19"/>
        </w:rPr>
        <w:t>Polypyrrole</w:t>
      </w:r>
      <w:r>
        <w:rPr>
          <w:rFonts w:eastAsia="Times New Roman"/>
          <w:b/>
          <w:bCs/>
          <w:sz w:val="19"/>
          <w:szCs w:val="19"/>
        </w:rPr>
        <w:t xml:space="preserve">, </w:t>
      </w:r>
      <w:proofErr w:type="spellStart"/>
      <w:r w:rsidR="0060071D" w:rsidRPr="0060071D">
        <w:rPr>
          <w:rFonts w:eastAsia="Times New Roman"/>
          <w:b/>
          <w:bCs/>
          <w:sz w:val="19"/>
          <w:szCs w:val="19"/>
        </w:rPr>
        <w:t>Retrotrapezoid</w:t>
      </w:r>
      <w:proofErr w:type="spellEnd"/>
      <w:r w:rsidR="0060071D" w:rsidRPr="0060071D">
        <w:rPr>
          <w:rFonts w:eastAsia="Times New Roman"/>
          <w:b/>
          <w:bCs/>
          <w:sz w:val="19"/>
          <w:szCs w:val="19"/>
        </w:rPr>
        <w:t xml:space="preserve"> nucleus</w:t>
      </w:r>
      <w:r>
        <w:rPr>
          <w:rFonts w:eastAsia="Times New Roman"/>
          <w:b/>
          <w:bCs/>
          <w:sz w:val="19"/>
          <w:szCs w:val="19"/>
        </w:rPr>
        <w:t xml:space="preserve">, </w:t>
      </w:r>
      <w:r w:rsidR="0060071D" w:rsidRPr="0060071D">
        <w:rPr>
          <w:rFonts w:eastAsia="Times New Roman"/>
          <w:b/>
          <w:bCs/>
          <w:sz w:val="19"/>
          <w:szCs w:val="19"/>
        </w:rPr>
        <w:t>Sub-threshold activity</w:t>
      </w:r>
    </w:p>
    <w:p w:rsidR="00141A88" w:rsidRDefault="00141A88">
      <w:pPr>
        <w:spacing w:line="200" w:lineRule="exact"/>
        <w:rPr>
          <w:sz w:val="24"/>
          <w:szCs w:val="24"/>
        </w:rPr>
      </w:pPr>
    </w:p>
    <w:p w:rsidR="00141A88" w:rsidRDefault="00141A88">
      <w:pPr>
        <w:spacing w:line="259" w:lineRule="exact"/>
        <w:rPr>
          <w:sz w:val="24"/>
          <w:szCs w:val="24"/>
        </w:rPr>
      </w:pPr>
    </w:p>
    <w:p w:rsidR="00141A88" w:rsidRDefault="006F79F8">
      <w:pPr>
        <w:numPr>
          <w:ilvl w:val="0"/>
          <w:numId w:val="1"/>
        </w:numPr>
        <w:tabs>
          <w:tab w:val="left" w:pos="1440"/>
        </w:tabs>
        <w:ind w:left="1440" w:hanging="452"/>
        <w:rPr>
          <w:rFonts w:eastAsia="Times New Roman"/>
          <w:b/>
          <w:bCs/>
          <w:sz w:val="19"/>
          <w:szCs w:val="19"/>
        </w:rPr>
      </w:pPr>
      <w:r>
        <w:rPr>
          <w:rFonts w:eastAsia="Times New Roman"/>
          <w:b/>
          <w:bCs/>
          <w:sz w:val="19"/>
          <w:szCs w:val="19"/>
        </w:rPr>
        <w:t>Abstract Body</w:t>
      </w:r>
    </w:p>
    <w:p w:rsidR="00141A88" w:rsidRDefault="00141A88">
      <w:pPr>
        <w:spacing w:line="130" w:lineRule="exact"/>
        <w:rPr>
          <w:sz w:val="24"/>
          <w:szCs w:val="24"/>
        </w:rPr>
      </w:pPr>
    </w:p>
    <w:p w:rsidR="00141A88" w:rsidRDefault="0060071D" w:rsidP="0060071D">
      <w:pPr>
        <w:spacing w:line="249" w:lineRule="exact"/>
        <w:jc w:val="both"/>
        <w:rPr>
          <w:sz w:val="24"/>
          <w:szCs w:val="24"/>
        </w:rPr>
      </w:pPr>
      <w:r w:rsidRPr="0060071D">
        <w:rPr>
          <w:rFonts w:eastAsia="Times New Roman"/>
          <w:sz w:val="19"/>
          <w:szCs w:val="19"/>
        </w:rPr>
        <w:t xml:space="preserve">Central chemoreception is the process whereby the brainstem senses blood gas levels and adjusts homeostatic functions such as breathing and cardiovascular tone accordingly. Rodent evidence suggests that the </w:t>
      </w:r>
      <w:proofErr w:type="spellStart"/>
      <w:r w:rsidRPr="0060071D">
        <w:rPr>
          <w:rFonts w:eastAsia="Times New Roman"/>
          <w:sz w:val="19"/>
          <w:szCs w:val="19"/>
        </w:rPr>
        <w:t>retrotrapezoid</w:t>
      </w:r>
      <w:proofErr w:type="spellEnd"/>
      <w:r w:rsidRPr="0060071D">
        <w:rPr>
          <w:rFonts w:eastAsia="Times New Roman"/>
          <w:sz w:val="19"/>
          <w:szCs w:val="19"/>
        </w:rPr>
        <w:t xml:space="preserve"> nucleus</w:t>
      </w:r>
      <w:r>
        <w:rPr>
          <w:rFonts w:eastAsia="Times New Roman"/>
          <w:sz w:val="19"/>
          <w:szCs w:val="19"/>
        </w:rPr>
        <w:t xml:space="preserve"> (RTN)</w:t>
      </w:r>
      <w:r w:rsidRPr="0060071D">
        <w:rPr>
          <w:rFonts w:eastAsia="Times New Roman"/>
          <w:sz w:val="19"/>
          <w:szCs w:val="19"/>
        </w:rPr>
        <w:t xml:space="preserve"> is a master regulator of centra</w:t>
      </w:r>
      <w:r>
        <w:rPr>
          <w:rFonts w:eastAsia="Times New Roman"/>
          <w:sz w:val="19"/>
          <w:szCs w:val="19"/>
        </w:rPr>
        <w:t>l chemoreception</w:t>
      </w:r>
      <w:r w:rsidRPr="0060071D">
        <w:rPr>
          <w:rFonts w:eastAsia="Times New Roman"/>
          <w:sz w:val="19"/>
          <w:szCs w:val="19"/>
        </w:rPr>
        <w:t xml:space="preserve"> through direct sensation of acidosis induced by CO</w:t>
      </w:r>
      <w:r w:rsidRPr="0060071D">
        <w:rPr>
          <w:rFonts w:eastAsia="Times New Roman"/>
          <w:sz w:val="19"/>
          <w:szCs w:val="19"/>
          <w:vertAlign w:val="subscript"/>
        </w:rPr>
        <w:t>2</w:t>
      </w:r>
      <w:r w:rsidRPr="0060071D">
        <w:rPr>
          <w:rFonts w:eastAsia="Times New Roman"/>
          <w:sz w:val="19"/>
          <w:szCs w:val="19"/>
        </w:rPr>
        <w:t xml:space="preserve"> levels</w:t>
      </w:r>
      <w:r w:rsidR="008F5D78">
        <w:rPr>
          <w:rFonts w:eastAsia="Times New Roman"/>
          <w:sz w:val="19"/>
          <w:szCs w:val="19"/>
        </w:rPr>
        <w:fldChar w:fldCharType="begin">
          <w:fldData xml:space="preserve">PEVuZE5vdGU+PENpdGU+PEF1dGhvcj5HdXllbmV0PC9BdXRob3I+PFllYXI+MjAwOTwvWWVhcj48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</w:fldData>
        </w:fldChar>
      </w:r>
      <w:r w:rsidR="008F5D78">
        <w:rPr>
          <w:rFonts w:eastAsia="Times New Roman"/>
          <w:sz w:val="19"/>
          <w:szCs w:val="19"/>
        </w:rPr>
        <w:instrText xml:space="preserve"> ADDIN EN.CITE </w:instrText>
      </w:r>
      <w:r w:rsidR="008F5D78">
        <w:rPr>
          <w:rFonts w:eastAsia="Times New Roman"/>
          <w:sz w:val="19"/>
          <w:szCs w:val="19"/>
        </w:rPr>
        <w:fldChar w:fldCharType="begin">
          <w:fldData xml:space="preserve">PEVuZE5vdGU+PENpdGU+PEF1dGhvcj5HdXllbmV0PC9BdXRob3I+PFllYXI+MjAwOTwvWWVhcj48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</w:fldData>
        </w:fldChar>
      </w:r>
      <w:r w:rsidR="008F5D78">
        <w:rPr>
          <w:rFonts w:eastAsia="Times New Roman"/>
          <w:sz w:val="19"/>
          <w:szCs w:val="19"/>
        </w:rPr>
        <w:instrText xml:space="preserve"> ADDIN EN.CITE.DATA </w:instrText>
      </w:r>
      <w:r w:rsidR="008F5D78">
        <w:rPr>
          <w:rFonts w:eastAsia="Times New Roman"/>
          <w:sz w:val="19"/>
          <w:szCs w:val="19"/>
        </w:rPr>
      </w:r>
      <w:r w:rsidR="008F5D78">
        <w:rPr>
          <w:rFonts w:eastAsia="Times New Roman"/>
          <w:sz w:val="19"/>
          <w:szCs w:val="19"/>
        </w:rPr>
        <w:fldChar w:fldCharType="end"/>
      </w:r>
      <w:r w:rsidR="008F5D78">
        <w:rPr>
          <w:rFonts w:eastAsia="Times New Roman"/>
          <w:sz w:val="19"/>
          <w:szCs w:val="19"/>
        </w:rPr>
      </w:r>
      <w:r w:rsidR="008F5D78">
        <w:rPr>
          <w:rFonts w:eastAsia="Times New Roman"/>
          <w:sz w:val="19"/>
          <w:szCs w:val="19"/>
        </w:rPr>
        <w:fldChar w:fldCharType="separate"/>
      </w:r>
      <w:r w:rsidR="008F5D78" w:rsidRPr="008F5D78">
        <w:rPr>
          <w:rFonts w:eastAsia="Times New Roman"/>
          <w:noProof/>
          <w:sz w:val="19"/>
          <w:szCs w:val="19"/>
          <w:vertAlign w:val="superscript"/>
        </w:rPr>
        <w:t>1, 2</w:t>
      </w:r>
      <w:r w:rsidR="008F5D78">
        <w:rPr>
          <w:rFonts w:eastAsia="Times New Roman"/>
          <w:sz w:val="19"/>
          <w:szCs w:val="19"/>
        </w:rPr>
        <w:fldChar w:fldCharType="end"/>
      </w:r>
      <w:r w:rsidRPr="0060071D">
        <w:rPr>
          <w:rFonts w:eastAsia="Times New Roman"/>
          <w:sz w:val="19"/>
          <w:szCs w:val="19"/>
        </w:rPr>
        <w:t xml:space="preserve">. The oscillatory dynamics caused by pH changes as sensed by </w:t>
      </w:r>
      <w:r w:rsidR="00876869">
        <w:rPr>
          <w:rFonts w:eastAsia="Times New Roman"/>
          <w:sz w:val="19"/>
          <w:szCs w:val="19"/>
        </w:rPr>
        <w:t xml:space="preserve">the RTN </w:t>
      </w:r>
      <w:r w:rsidRPr="0060071D">
        <w:rPr>
          <w:rFonts w:eastAsia="Times New Roman"/>
          <w:sz w:val="19"/>
          <w:szCs w:val="19"/>
        </w:rPr>
        <w:t>and its relationship to the fluctuations in cation flux is not clearly understood due to the current limitations of electrophysiology tools and this article presents our investigations to address this need. A cation selective sensor fabricated from polypyrrole doped with dodecyl benzene</w:t>
      </w:r>
      <w:r w:rsidR="00876869">
        <w:rPr>
          <w:rFonts w:eastAsia="Times New Roman"/>
          <w:sz w:val="19"/>
          <w:szCs w:val="19"/>
        </w:rPr>
        <w:t xml:space="preserve">sulfonate is placed over RTN of </w:t>
      </w:r>
      <w:r w:rsidRPr="0060071D">
        <w:rPr>
          <w:rFonts w:eastAsia="Times New Roman"/>
          <w:sz w:val="19"/>
          <w:szCs w:val="19"/>
        </w:rPr>
        <w:t xml:space="preserve">an </w:t>
      </w:r>
      <w:r w:rsidRPr="00876869">
        <w:rPr>
          <w:rFonts w:eastAsia="Times New Roman"/>
          <w:i/>
          <w:sz w:val="19"/>
          <w:szCs w:val="19"/>
        </w:rPr>
        <w:t>ex-vivo</w:t>
      </w:r>
      <w:r w:rsidRPr="0060071D">
        <w:rPr>
          <w:rFonts w:eastAsia="Times New Roman"/>
          <w:sz w:val="19"/>
          <w:szCs w:val="19"/>
        </w:rPr>
        <w:t xml:space="preserve"> </w:t>
      </w:r>
      <w:proofErr w:type="spellStart"/>
      <w:r w:rsidRPr="0060071D">
        <w:rPr>
          <w:rFonts w:eastAsia="Times New Roman"/>
          <w:i/>
          <w:sz w:val="19"/>
          <w:szCs w:val="19"/>
        </w:rPr>
        <w:t>en</w:t>
      </w:r>
      <w:proofErr w:type="spellEnd"/>
      <w:r w:rsidRPr="0060071D">
        <w:rPr>
          <w:rFonts w:eastAsia="Times New Roman"/>
          <w:i/>
          <w:sz w:val="19"/>
          <w:szCs w:val="19"/>
        </w:rPr>
        <w:t xml:space="preserve"> bloc</w:t>
      </w:r>
      <w:r w:rsidRPr="0060071D">
        <w:rPr>
          <w:rFonts w:eastAsia="Times New Roman"/>
          <w:sz w:val="19"/>
          <w:szCs w:val="19"/>
        </w:rPr>
        <w:t xml:space="preserve"> brain and cation concentration changes above the RTN is measured due to changes in externally imposed basal </w:t>
      </w:r>
      <w:proofErr w:type="spellStart"/>
      <w:r w:rsidRPr="0060071D">
        <w:rPr>
          <w:rFonts w:eastAsia="Times New Roman"/>
          <w:sz w:val="19"/>
          <w:szCs w:val="19"/>
        </w:rPr>
        <w:t>pH.</w:t>
      </w:r>
      <w:proofErr w:type="spellEnd"/>
      <w:r w:rsidRPr="0060071D">
        <w:rPr>
          <w:rFonts w:eastAsia="Times New Roman"/>
          <w:sz w:val="19"/>
          <w:szCs w:val="19"/>
        </w:rPr>
        <w:t xml:space="preserve"> The novelty of this technique lies in its feasibility to detect cation fluxes from the cells in the RTN region without having to access either sides of the cell membrane. Owing to the placement of the sensor in close proximity to the tissue, we refer to this technique as near-field electrophysiology</w:t>
      </w:r>
      <w:r w:rsidR="008F5D78">
        <w:rPr>
          <w:rFonts w:eastAsia="Times New Roman"/>
          <w:sz w:val="19"/>
          <w:szCs w:val="19"/>
        </w:rPr>
        <w:fldChar w:fldCharType="begin"/>
      </w:r>
      <w:r w:rsidR="008F5D78">
        <w:rPr>
          <w:rFonts w:eastAsia="Times New Roman"/>
          <w:sz w:val="19"/>
          <w:szCs w:val="19"/>
        </w:rPr>
        <w:instrText xml:space="preserve"> ADDIN EN.CITE &lt;EndNote&gt;&lt;Cite&gt;&lt;Author&gt;Venugopal&lt;/Author&gt;&lt;Year&gt;2017&lt;/Year&gt;&lt;IDText&gt;Mass and charge density effects on the saturation kinetics of polypyrrole doped with dodecylbenzene sulfonate&lt;/IDText&gt;&lt;DisplayText&gt;&lt;style face="superscript"&gt;3&lt;/style&gt;&lt;/DisplayText&gt;&lt;record&gt;&lt;dates&gt;&lt;pub-dates&gt;&lt;date&gt;Apr&lt;/date&gt;&lt;/pub-dates&gt;&lt;year&gt;2017&lt;/year&gt;&lt;/dates&gt;&lt;urls&gt;&lt;related-urls&gt;&lt;url&gt;&amp;lt;Go to ISI&amp;gt;://WOS:000401080300004&lt;/url&gt;&lt;/related-urls&gt;&lt;/urls&gt;&lt;isbn&gt;1045-389X&lt;/isbn&gt;&lt;titles&gt;&lt;title&gt;Mass and charge density effects on the saturation kinetics of polypyrrole doped with dodecylbenzene sulfonate&lt;/title&gt;&lt;secondary-title&gt;Journal of Intelligent Material Systems and Structures&lt;/secondary-title&gt;&lt;/titles&gt;&lt;pages&gt;760-771&lt;/pages&gt;&lt;number&gt;6&lt;/number&gt;&lt;contributors&gt;&lt;authors&gt;&lt;author&gt;Venugopal, V.&lt;/author&gt;&lt;author&gt;Hery, T.&lt;/author&gt;&lt;author&gt;Venkatesh, V.&lt;/author&gt;&lt;author&gt;Sundaresan, V. B.&lt;/author&gt;&lt;/authors&gt;&lt;/contributors&gt;&lt;added-date format="utc"&gt;1569599047&lt;/added-date&gt;&lt;ref-type name="Journal Article"&gt;17&lt;/ref-type&gt;&lt;rec-number&gt;140&lt;/rec-number&gt;&lt;last-updated-date format="utc"&gt;1569599047&lt;/last-updated-date&gt;&lt;accession-num&gt;WOS:000401080300004&lt;/accession-num&gt;&lt;electronic-resource-num&gt;10.1177/1045389x16657421&lt;/electronic-resource-num&gt;&lt;volume&gt;28&lt;/volume&gt;&lt;/record&gt;&lt;/Cite&gt;&lt;/EndNote&gt;</w:instrText>
      </w:r>
      <w:r w:rsidR="008F5D78">
        <w:rPr>
          <w:rFonts w:eastAsia="Times New Roman"/>
          <w:sz w:val="19"/>
          <w:szCs w:val="19"/>
        </w:rPr>
        <w:fldChar w:fldCharType="separate"/>
      </w:r>
      <w:r w:rsidR="008F5D78" w:rsidRPr="008F5D78">
        <w:rPr>
          <w:rFonts w:eastAsia="Times New Roman"/>
          <w:noProof/>
          <w:sz w:val="19"/>
          <w:szCs w:val="19"/>
          <w:vertAlign w:val="superscript"/>
        </w:rPr>
        <w:t>3</w:t>
      </w:r>
      <w:r w:rsidR="008F5D78">
        <w:rPr>
          <w:rFonts w:eastAsia="Times New Roman"/>
          <w:sz w:val="19"/>
          <w:szCs w:val="19"/>
        </w:rPr>
        <w:fldChar w:fldCharType="end"/>
      </w:r>
      <w:r w:rsidRPr="0060071D">
        <w:rPr>
          <w:rFonts w:eastAsia="Times New Roman"/>
          <w:sz w:val="19"/>
          <w:szCs w:val="19"/>
        </w:rPr>
        <w:t xml:space="preserve">. It is observed that </w:t>
      </w:r>
      <w:r w:rsidR="00876869">
        <w:rPr>
          <w:rFonts w:eastAsia="Times New Roman"/>
          <w:sz w:val="19"/>
          <w:szCs w:val="19"/>
        </w:rPr>
        <w:t xml:space="preserve">decreasing </w:t>
      </w:r>
      <w:r w:rsidRPr="0060071D">
        <w:rPr>
          <w:rFonts w:eastAsia="Times New Roman"/>
          <w:sz w:val="19"/>
          <w:szCs w:val="19"/>
        </w:rPr>
        <w:t xml:space="preserve">pH in the physiological range (7.4–7.2) results in a significant increase in cation concentration in the vicinity of RTN with a median value of ~5 </w:t>
      </w:r>
      <w:proofErr w:type="spellStart"/>
      <w:r w:rsidRPr="0060071D">
        <w:rPr>
          <w:rFonts w:eastAsia="Times New Roman"/>
          <w:sz w:val="19"/>
          <w:szCs w:val="19"/>
        </w:rPr>
        <w:t>μM</w:t>
      </w:r>
      <w:proofErr w:type="spellEnd"/>
      <w:r w:rsidRPr="0060071D">
        <w:rPr>
          <w:rFonts w:eastAsia="Times New Roman"/>
          <w:sz w:val="19"/>
          <w:szCs w:val="19"/>
        </w:rPr>
        <w:t>. The utilization of such quantifiable measurement techniques to detect sub-threshold brain activity may help provide a platform for future neural network architectures. Findings from this paper present a quantifiable, sensitive, and robust electrophysiology technique with minimal damage to the underlying tissue.</w:t>
      </w:r>
    </w:p>
    <w:p w:rsidR="00141A88" w:rsidRDefault="00383119">
      <w:pPr>
        <w:numPr>
          <w:ilvl w:val="0"/>
          <w:numId w:val="2"/>
        </w:numPr>
        <w:tabs>
          <w:tab w:val="left" w:pos="1480"/>
        </w:tabs>
        <w:ind w:left="1480" w:hanging="492"/>
        <w:rPr>
          <w:rFonts w:eastAsia="Times New Roman"/>
          <w:b/>
          <w:bCs/>
          <w:sz w:val="19"/>
          <w:szCs w:val="19"/>
        </w:rPr>
      </w:pPr>
      <w:r>
        <w:rPr>
          <w:rFonts w:eastAsia="Times New Roman"/>
          <w:b/>
          <w:bCs/>
          <w:sz w:val="19"/>
          <w:szCs w:val="19"/>
        </w:rPr>
        <w:t>Image:</w:t>
      </w:r>
    </w:p>
    <w:p w:rsidR="008F5D78" w:rsidRDefault="008F5D78" w:rsidP="008F5D78">
      <w:pPr>
        <w:tabs>
          <w:tab w:val="left" w:pos="1480"/>
        </w:tabs>
        <w:rPr>
          <w:rFonts w:eastAsia="Times New Roman"/>
          <w:b/>
          <w:bCs/>
          <w:sz w:val="19"/>
          <w:szCs w:val="19"/>
        </w:rPr>
      </w:pPr>
    </w:p>
    <w:p w:rsidR="008F5D78" w:rsidRDefault="008F5D78" w:rsidP="008F5D78">
      <w:pPr>
        <w:tabs>
          <w:tab w:val="left" w:pos="1480"/>
        </w:tabs>
        <w:rPr>
          <w:rFonts w:eastAsia="Times New Roman"/>
          <w:b/>
          <w:bCs/>
          <w:sz w:val="19"/>
          <w:szCs w:val="19"/>
        </w:rPr>
      </w:pPr>
      <w:r>
        <w:rPr>
          <w:rFonts w:eastAsia="Times New Roman"/>
          <w:b/>
          <w:bCs/>
          <w:noProof/>
          <w:sz w:val="19"/>
          <w:szCs w:val="19"/>
        </w:rPr>
        <w:drawing>
          <wp:inline distT="0" distB="0" distL="0" distR="0">
            <wp:extent cx="3086100" cy="16002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bstract_Figure.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3086100" cy="1600200"/>
                    </a:xfrm>
                    <a:prstGeom prst="rect">
                      <a:avLst/>
                    </a:prstGeom>
                  </pic:spPr>
                </pic:pic>
              </a:graphicData>
            </a:graphic>
          </wp:inline>
        </w:drawing>
      </w:r>
    </w:p>
    <w:p w:rsidR="00141A88" w:rsidRDefault="00141A88">
      <w:pPr>
        <w:spacing w:line="20" w:lineRule="exact"/>
        <w:rPr>
          <w:sz w:val="24"/>
          <w:szCs w:val="24"/>
        </w:rPr>
      </w:pPr>
    </w:p>
    <w:p w:rsidR="00141A88" w:rsidRDefault="00383119">
      <w:pPr>
        <w:spacing w:line="20" w:lineRule="exact"/>
        <w:rPr>
          <w:sz w:val="24"/>
          <w:szCs w:val="24"/>
        </w:rPr>
      </w:pPr>
      <w:r>
        <w:rPr>
          <w:sz w:val="24"/>
          <w:szCs w:val="24"/>
        </w:rPr>
        <w:br w:type="column"/>
      </w:r>
    </w:p>
    <w:p w:rsidR="00141A88" w:rsidRDefault="00141A88">
      <w:pPr>
        <w:spacing w:line="200" w:lineRule="exact"/>
        <w:rPr>
          <w:sz w:val="24"/>
          <w:szCs w:val="24"/>
        </w:rPr>
      </w:pPr>
    </w:p>
    <w:p w:rsidR="00141A88" w:rsidRDefault="00141A88">
      <w:pPr>
        <w:spacing w:line="200" w:lineRule="exact"/>
        <w:rPr>
          <w:sz w:val="24"/>
          <w:szCs w:val="24"/>
        </w:rPr>
      </w:pPr>
    </w:p>
    <w:p w:rsidR="00141A88" w:rsidRDefault="00141A88">
      <w:pPr>
        <w:spacing w:line="309" w:lineRule="exact"/>
        <w:rPr>
          <w:sz w:val="24"/>
          <w:szCs w:val="24"/>
        </w:rPr>
      </w:pPr>
    </w:p>
    <w:p w:rsidR="008F5D78" w:rsidRDefault="008F5D78">
      <w:pPr>
        <w:spacing w:line="309" w:lineRule="exact"/>
        <w:rPr>
          <w:sz w:val="24"/>
          <w:szCs w:val="24"/>
        </w:rPr>
      </w:pPr>
    </w:p>
    <w:p w:rsidR="008F5D78" w:rsidRDefault="008F5D78">
      <w:pPr>
        <w:spacing w:line="309" w:lineRule="exact"/>
        <w:rPr>
          <w:sz w:val="24"/>
          <w:szCs w:val="24"/>
        </w:rPr>
      </w:pPr>
    </w:p>
    <w:p w:rsidR="00141A88" w:rsidRDefault="00383119">
      <w:pPr>
        <w:numPr>
          <w:ilvl w:val="1"/>
          <w:numId w:val="3"/>
        </w:numPr>
        <w:tabs>
          <w:tab w:val="left" w:pos="1443"/>
        </w:tabs>
        <w:ind w:left="1443" w:hanging="449"/>
        <w:rPr>
          <w:rFonts w:eastAsia="Times New Roman"/>
          <w:b/>
          <w:bCs/>
          <w:sz w:val="19"/>
          <w:szCs w:val="19"/>
        </w:rPr>
      </w:pPr>
      <w:r>
        <w:rPr>
          <w:rFonts w:eastAsia="Times New Roman"/>
          <w:b/>
          <w:bCs/>
          <w:sz w:val="19"/>
          <w:szCs w:val="19"/>
        </w:rPr>
        <w:t>Reference:</w:t>
      </w:r>
    </w:p>
    <w:p w:rsidR="00141A88" w:rsidRDefault="00141A88">
      <w:pPr>
        <w:spacing w:line="235" w:lineRule="exact"/>
        <w:rPr>
          <w:rFonts w:eastAsia="Times New Roman"/>
          <w:b/>
          <w:bCs/>
          <w:sz w:val="19"/>
          <w:szCs w:val="19"/>
        </w:rPr>
      </w:pPr>
    </w:p>
    <w:p w:rsidR="008F5D78" w:rsidRDefault="008F5D78" w:rsidP="008F5D78">
      <w:pPr>
        <w:pStyle w:val="EndNoteBibliography"/>
        <w:ind w:left="720" w:hanging="720"/>
        <w:jc w:val="both"/>
        <w:rPr>
          <w:sz w:val="18"/>
          <w:szCs w:val="18"/>
        </w:rPr>
      </w:pPr>
      <w:r w:rsidRPr="008F5D78">
        <w:rPr>
          <w:sz w:val="18"/>
          <w:szCs w:val="18"/>
        </w:rPr>
        <w:fldChar w:fldCharType="begin"/>
      </w:r>
      <w:r w:rsidRPr="008F5D78">
        <w:rPr>
          <w:sz w:val="18"/>
          <w:szCs w:val="18"/>
        </w:rPr>
        <w:instrText xml:space="preserve"> ADDIN EN.REFLIST </w:instrText>
      </w:r>
      <w:r w:rsidRPr="008F5D78">
        <w:rPr>
          <w:sz w:val="18"/>
          <w:szCs w:val="18"/>
        </w:rPr>
        <w:fldChar w:fldCharType="separate"/>
      </w:r>
      <w:r w:rsidRPr="008F5D78">
        <w:rPr>
          <w:sz w:val="18"/>
          <w:szCs w:val="18"/>
        </w:rPr>
        <w:t>1.</w:t>
      </w:r>
      <w:r w:rsidRPr="008F5D78">
        <w:rPr>
          <w:sz w:val="18"/>
          <w:szCs w:val="18"/>
        </w:rPr>
        <w:tab/>
        <w:t xml:space="preserve">Guyenet, P.G. et al. Retrotrapezoid nucleus, respiratory chemosensitivity and breathing automaticity. </w:t>
      </w:r>
      <w:r w:rsidRPr="008F5D78">
        <w:rPr>
          <w:i/>
          <w:sz w:val="18"/>
          <w:szCs w:val="18"/>
        </w:rPr>
        <w:t>Respiratory Physiology &amp; Neurobiology</w:t>
      </w:r>
      <w:r w:rsidRPr="008F5D78">
        <w:rPr>
          <w:sz w:val="18"/>
          <w:szCs w:val="18"/>
        </w:rPr>
        <w:t xml:space="preserve"> </w:t>
      </w:r>
      <w:r w:rsidRPr="008F5D78">
        <w:rPr>
          <w:b/>
          <w:sz w:val="18"/>
          <w:szCs w:val="18"/>
        </w:rPr>
        <w:t>168</w:t>
      </w:r>
      <w:r w:rsidRPr="008F5D78">
        <w:rPr>
          <w:sz w:val="18"/>
          <w:szCs w:val="18"/>
        </w:rPr>
        <w:t>, 59-68 (2009).</w:t>
      </w:r>
    </w:p>
    <w:p w:rsidR="008F5D78" w:rsidRPr="008F5D78" w:rsidRDefault="008F5D78" w:rsidP="008F5D78">
      <w:pPr>
        <w:pStyle w:val="EndNoteBibliography"/>
        <w:ind w:left="720" w:hanging="720"/>
        <w:jc w:val="both"/>
        <w:rPr>
          <w:sz w:val="18"/>
          <w:szCs w:val="18"/>
        </w:rPr>
      </w:pPr>
    </w:p>
    <w:p w:rsidR="008F5D78" w:rsidRDefault="008F5D78" w:rsidP="008F5D78">
      <w:pPr>
        <w:pStyle w:val="EndNoteBibliography"/>
        <w:ind w:left="720" w:hanging="720"/>
        <w:jc w:val="both"/>
        <w:rPr>
          <w:sz w:val="18"/>
          <w:szCs w:val="18"/>
        </w:rPr>
      </w:pPr>
      <w:r w:rsidRPr="008F5D78">
        <w:rPr>
          <w:sz w:val="18"/>
          <w:szCs w:val="18"/>
        </w:rPr>
        <w:t>2.</w:t>
      </w:r>
      <w:r w:rsidRPr="008F5D78">
        <w:rPr>
          <w:sz w:val="18"/>
          <w:szCs w:val="18"/>
        </w:rPr>
        <w:tab/>
        <w:t xml:space="preserve">Mulkey, D.K. et al. Respiratory control by ventral surface chemoreceptor neurons in rats. </w:t>
      </w:r>
      <w:r w:rsidRPr="008F5D78">
        <w:rPr>
          <w:i/>
          <w:sz w:val="18"/>
          <w:szCs w:val="18"/>
        </w:rPr>
        <w:t>Nature Neuroscience</w:t>
      </w:r>
      <w:r w:rsidRPr="008F5D78">
        <w:rPr>
          <w:sz w:val="18"/>
          <w:szCs w:val="18"/>
        </w:rPr>
        <w:t xml:space="preserve"> </w:t>
      </w:r>
      <w:r w:rsidRPr="008F5D78">
        <w:rPr>
          <w:b/>
          <w:sz w:val="18"/>
          <w:szCs w:val="18"/>
        </w:rPr>
        <w:t>7</w:t>
      </w:r>
      <w:r w:rsidRPr="008F5D78">
        <w:rPr>
          <w:sz w:val="18"/>
          <w:szCs w:val="18"/>
        </w:rPr>
        <w:t>, 1360-1369 (2004).</w:t>
      </w:r>
    </w:p>
    <w:p w:rsidR="008F5D78" w:rsidRPr="008F5D78" w:rsidRDefault="008F5D78" w:rsidP="008F5D78">
      <w:pPr>
        <w:pStyle w:val="EndNoteBibliography"/>
        <w:ind w:left="720" w:hanging="720"/>
        <w:jc w:val="both"/>
        <w:rPr>
          <w:sz w:val="18"/>
          <w:szCs w:val="18"/>
        </w:rPr>
      </w:pPr>
    </w:p>
    <w:p w:rsidR="008F5D78" w:rsidRPr="008F5D78" w:rsidRDefault="008F5D78" w:rsidP="008F5D78">
      <w:pPr>
        <w:pStyle w:val="EndNoteBibliography"/>
        <w:ind w:left="720" w:hanging="720"/>
        <w:jc w:val="both"/>
        <w:rPr>
          <w:sz w:val="18"/>
          <w:szCs w:val="18"/>
        </w:rPr>
      </w:pPr>
      <w:r w:rsidRPr="008F5D78">
        <w:rPr>
          <w:sz w:val="18"/>
          <w:szCs w:val="18"/>
        </w:rPr>
        <w:t>3.</w:t>
      </w:r>
      <w:r w:rsidRPr="008F5D78">
        <w:rPr>
          <w:sz w:val="18"/>
          <w:szCs w:val="18"/>
        </w:rPr>
        <w:tab/>
        <w:t xml:space="preserve">Venugopal, V., Hery, T., Venkatesh, V. &amp; Sundaresan, V.B. Mass and charge density effects on the saturation kinetics of polypyrrole doped with dodecylbenzene sulfonate. </w:t>
      </w:r>
      <w:r w:rsidRPr="008F5D78">
        <w:rPr>
          <w:i/>
          <w:sz w:val="18"/>
          <w:szCs w:val="18"/>
        </w:rPr>
        <w:t>Journal of Intelligent Material Systems and Structures</w:t>
      </w:r>
      <w:r w:rsidRPr="008F5D78">
        <w:rPr>
          <w:sz w:val="18"/>
          <w:szCs w:val="18"/>
        </w:rPr>
        <w:t xml:space="preserve"> </w:t>
      </w:r>
      <w:r w:rsidRPr="008F5D78">
        <w:rPr>
          <w:b/>
          <w:sz w:val="18"/>
          <w:szCs w:val="18"/>
        </w:rPr>
        <w:t>28</w:t>
      </w:r>
      <w:r w:rsidRPr="008F5D78">
        <w:rPr>
          <w:sz w:val="18"/>
          <w:szCs w:val="18"/>
        </w:rPr>
        <w:t>, 760-771 (2017).</w:t>
      </w:r>
    </w:p>
    <w:p w:rsidR="00141A88" w:rsidRDefault="008F5D78" w:rsidP="008F5D78">
      <w:pPr>
        <w:spacing w:line="246" w:lineRule="exact"/>
        <w:jc w:val="both"/>
        <w:rPr>
          <w:rFonts w:eastAsia="Times New Roman"/>
          <w:sz w:val="19"/>
          <w:szCs w:val="19"/>
        </w:rPr>
      </w:pPr>
      <w:r w:rsidRPr="008F5D78">
        <w:rPr>
          <w:sz w:val="18"/>
          <w:szCs w:val="18"/>
        </w:rPr>
        <w:fldChar w:fldCharType="end"/>
      </w:r>
    </w:p>
    <w:p w:rsidR="00141A88" w:rsidRDefault="00383119">
      <w:pPr>
        <w:tabs>
          <w:tab w:val="left" w:pos="1403"/>
        </w:tabs>
        <w:ind w:left="983"/>
        <w:rPr>
          <w:sz w:val="20"/>
          <w:szCs w:val="20"/>
        </w:rPr>
      </w:pPr>
      <w:r>
        <w:rPr>
          <w:rFonts w:eastAsia="Times New Roman"/>
          <w:b/>
          <w:bCs/>
          <w:sz w:val="19"/>
          <w:szCs w:val="19"/>
        </w:rPr>
        <w:t>IV.</w:t>
      </w:r>
      <w:r>
        <w:rPr>
          <w:rFonts w:eastAsia="Times New Roman"/>
          <w:b/>
          <w:bCs/>
          <w:sz w:val="19"/>
          <w:szCs w:val="19"/>
        </w:rPr>
        <w:tab/>
        <w:t>Biography:</w:t>
      </w:r>
    </w:p>
    <w:p w:rsidR="00141A88" w:rsidRDefault="00141A88">
      <w:pPr>
        <w:spacing w:line="130" w:lineRule="exact"/>
        <w:rPr>
          <w:sz w:val="24"/>
          <w:szCs w:val="24"/>
        </w:rPr>
      </w:pPr>
    </w:p>
    <w:p w:rsidR="00141A88" w:rsidRDefault="00876869" w:rsidP="00876869">
      <w:pPr>
        <w:tabs>
          <w:tab w:val="left" w:pos="599"/>
        </w:tabs>
        <w:spacing w:line="236" w:lineRule="auto"/>
        <w:jc w:val="both"/>
        <w:rPr>
          <w:rFonts w:eastAsia="Times New Roman"/>
          <w:sz w:val="19"/>
          <w:szCs w:val="19"/>
        </w:rPr>
      </w:pPr>
      <w:r>
        <w:rPr>
          <w:rFonts w:eastAsia="Times New Roman"/>
          <w:sz w:val="19"/>
          <w:szCs w:val="19"/>
        </w:rPr>
        <w:t xml:space="preserve">Sujasha Gupta </w:t>
      </w:r>
      <w:r w:rsidR="00383119">
        <w:rPr>
          <w:rFonts w:eastAsia="Times New Roman"/>
          <w:sz w:val="19"/>
          <w:szCs w:val="19"/>
        </w:rPr>
        <w:t xml:space="preserve">has completed his PhD </w:t>
      </w:r>
      <w:r>
        <w:rPr>
          <w:rFonts w:eastAsia="Times New Roman"/>
          <w:sz w:val="19"/>
          <w:szCs w:val="19"/>
        </w:rPr>
        <w:t xml:space="preserve">in Mechanical Engineering </w:t>
      </w:r>
      <w:r w:rsidR="00383119">
        <w:rPr>
          <w:rFonts w:eastAsia="Times New Roman"/>
          <w:sz w:val="19"/>
          <w:szCs w:val="19"/>
        </w:rPr>
        <w:t>at the age of 2</w:t>
      </w:r>
      <w:r>
        <w:rPr>
          <w:rFonts w:eastAsia="Times New Roman"/>
          <w:sz w:val="19"/>
          <w:szCs w:val="19"/>
        </w:rPr>
        <w:t>9 years from The Ohio State</w:t>
      </w:r>
      <w:r w:rsidR="00383119">
        <w:rPr>
          <w:rFonts w:eastAsia="Times New Roman"/>
          <w:sz w:val="19"/>
          <w:szCs w:val="19"/>
        </w:rPr>
        <w:t xml:space="preserve"> University</w:t>
      </w:r>
      <w:r>
        <w:rPr>
          <w:rFonts w:eastAsia="Times New Roman"/>
          <w:sz w:val="19"/>
          <w:szCs w:val="19"/>
        </w:rPr>
        <w:t>, United States</w:t>
      </w:r>
      <w:r w:rsidR="00383119">
        <w:rPr>
          <w:rFonts w:eastAsia="Times New Roman"/>
          <w:sz w:val="19"/>
          <w:szCs w:val="19"/>
        </w:rPr>
        <w:t xml:space="preserve">. </w:t>
      </w:r>
      <w:r>
        <w:rPr>
          <w:rFonts w:eastAsia="Times New Roman"/>
          <w:sz w:val="19"/>
          <w:szCs w:val="19"/>
        </w:rPr>
        <w:t>Her work focusses on developing neural interfacing devices for real-time moni</w:t>
      </w:r>
      <w:r w:rsidR="00980B92">
        <w:rPr>
          <w:rFonts w:eastAsia="Times New Roman"/>
          <w:sz w:val="19"/>
          <w:szCs w:val="19"/>
        </w:rPr>
        <w:t>toring of nerve health</w:t>
      </w:r>
      <w:r w:rsidR="00383119">
        <w:rPr>
          <w:rFonts w:eastAsia="Times New Roman"/>
          <w:sz w:val="19"/>
          <w:szCs w:val="19"/>
        </w:rPr>
        <w:t xml:space="preserve">. </w:t>
      </w:r>
      <w:r w:rsidR="00980B92">
        <w:rPr>
          <w:rFonts w:eastAsia="Times New Roman"/>
          <w:sz w:val="19"/>
          <w:szCs w:val="19"/>
        </w:rPr>
        <w:t xml:space="preserve">She is an academic achievement award </w:t>
      </w:r>
      <w:r w:rsidR="00383119">
        <w:rPr>
          <w:rFonts w:eastAsia="Times New Roman"/>
          <w:sz w:val="19"/>
          <w:szCs w:val="19"/>
        </w:rPr>
        <w:t>recipient, which</w:t>
      </w:r>
      <w:r w:rsidR="00980B92">
        <w:rPr>
          <w:rFonts w:eastAsia="Times New Roman"/>
          <w:sz w:val="19"/>
          <w:szCs w:val="19"/>
        </w:rPr>
        <w:t xml:space="preserve"> was awarded during her Masters at University of Florida. </w:t>
      </w:r>
    </w:p>
    <w:p w:rsidR="00141A88" w:rsidRDefault="00141A88">
      <w:pPr>
        <w:spacing w:line="230" w:lineRule="exact"/>
        <w:rPr>
          <w:rFonts w:eastAsia="Times New Roman"/>
          <w:sz w:val="19"/>
          <w:szCs w:val="19"/>
        </w:rPr>
      </w:pPr>
    </w:p>
    <w:p w:rsidR="00141A88" w:rsidRDefault="00383119">
      <w:pPr>
        <w:numPr>
          <w:ilvl w:val="2"/>
          <w:numId w:val="6"/>
        </w:numPr>
        <w:tabs>
          <w:tab w:val="left" w:pos="1443"/>
        </w:tabs>
        <w:ind w:left="1443" w:hanging="449"/>
        <w:rPr>
          <w:rFonts w:eastAsia="Times New Roman"/>
          <w:b/>
          <w:bCs/>
          <w:sz w:val="19"/>
          <w:szCs w:val="19"/>
        </w:rPr>
      </w:pPr>
      <w:r>
        <w:rPr>
          <w:rFonts w:eastAsia="Times New Roman"/>
          <w:b/>
          <w:bCs/>
          <w:sz w:val="19"/>
          <w:szCs w:val="19"/>
        </w:rPr>
        <w:t>Presenting author details</w:t>
      </w:r>
    </w:p>
    <w:p w:rsidR="00141A88" w:rsidRDefault="00141A88">
      <w:pPr>
        <w:spacing w:line="20" w:lineRule="exact"/>
        <w:rPr>
          <w:sz w:val="24"/>
          <w:szCs w:val="24"/>
        </w:rPr>
      </w:pPr>
    </w:p>
    <w:p w:rsidR="00141A88" w:rsidRDefault="00141A88">
      <w:pPr>
        <w:spacing w:line="200" w:lineRule="exact"/>
        <w:rPr>
          <w:sz w:val="24"/>
          <w:szCs w:val="24"/>
        </w:rPr>
      </w:pPr>
    </w:p>
    <w:p w:rsidR="00980B92" w:rsidRDefault="00980B92">
      <w:pPr>
        <w:ind w:left="3"/>
        <w:rPr>
          <w:rFonts w:eastAsia="Times New Roman"/>
          <w:sz w:val="19"/>
          <w:szCs w:val="19"/>
        </w:rPr>
      </w:pPr>
    </w:p>
    <w:p w:rsidR="00980B92" w:rsidRDefault="008F5D78">
      <w:pPr>
        <w:ind w:left="3"/>
        <w:rPr>
          <w:rFonts w:eastAsia="Times New Roman"/>
          <w:sz w:val="19"/>
          <w:szCs w:val="19"/>
        </w:rPr>
      </w:pPr>
      <w:r>
        <w:rPr>
          <w:rFonts w:eastAsia="Times New Roman"/>
          <w:noProof/>
          <w:sz w:val="19"/>
          <w:szCs w:val="19"/>
        </w:rPr>
        <w:drawing>
          <wp:inline distT="0" distB="0" distL="0" distR="0">
            <wp:extent cx="1207047" cy="14001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ujashagupta.jpg"/>
                    <pic:cNvPicPr/>
                  </pic:nvPicPr>
                  <pic:blipFill rotWithShape="1">
                    <a:blip r:embed="rId8">
                      <a:extLst>
                        <a:ext uri="{28A0092B-C50C-407E-A947-70E740481C1C}">
                          <a14:useLocalDpi xmlns:a14="http://schemas.microsoft.com/office/drawing/2010/main" val="0"/>
                        </a:ext>
                      </a:extLst>
                    </a:blip>
                    <a:srcRect b="13000"/>
                    <a:stretch/>
                  </pic:blipFill>
                  <pic:spPr bwMode="auto">
                    <a:xfrm>
                      <a:off x="0" y="0"/>
                      <a:ext cx="1228104" cy="1424601"/>
                    </a:xfrm>
                    <a:prstGeom prst="rect">
                      <a:avLst/>
                    </a:prstGeom>
                    <a:ln>
                      <a:noFill/>
                    </a:ln>
                    <a:extLst>
                      <a:ext uri="{53640926-AAD7-44D8-BBD7-CCE9431645EC}">
                        <a14:shadowObscured xmlns:a14="http://schemas.microsoft.com/office/drawing/2010/main"/>
                      </a:ext>
                    </a:extLst>
                  </pic:spPr>
                </pic:pic>
              </a:graphicData>
            </a:graphic>
          </wp:inline>
        </w:drawing>
      </w:r>
    </w:p>
    <w:p w:rsidR="00141A88" w:rsidRDefault="00383119">
      <w:pPr>
        <w:ind w:left="3"/>
        <w:rPr>
          <w:sz w:val="20"/>
          <w:szCs w:val="20"/>
        </w:rPr>
      </w:pPr>
      <w:r>
        <w:rPr>
          <w:rFonts w:eastAsia="Times New Roman"/>
          <w:sz w:val="19"/>
          <w:szCs w:val="19"/>
        </w:rPr>
        <w:t>Full Name:</w:t>
      </w:r>
      <w:r w:rsidR="00980B92">
        <w:rPr>
          <w:rFonts w:eastAsia="Times New Roman"/>
          <w:sz w:val="19"/>
          <w:szCs w:val="19"/>
        </w:rPr>
        <w:t xml:space="preserve"> Sujasha Gupta</w:t>
      </w:r>
    </w:p>
    <w:p w:rsidR="00141A88" w:rsidRDefault="00141A88">
      <w:pPr>
        <w:spacing w:line="2" w:lineRule="exact"/>
        <w:rPr>
          <w:sz w:val="24"/>
          <w:szCs w:val="24"/>
        </w:rPr>
      </w:pPr>
    </w:p>
    <w:p w:rsidR="00141A88" w:rsidRDefault="00383119">
      <w:pPr>
        <w:ind w:left="3"/>
        <w:rPr>
          <w:sz w:val="20"/>
          <w:szCs w:val="20"/>
        </w:rPr>
      </w:pPr>
      <w:r>
        <w:rPr>
          <w:rFonts w:eastAsia="Times New Roman"/>
          <w:sz w:val="19"/>
          <w:szCs w:val="19"/>
        </w:rPr>
        <w:t>Contact number:</w:t>
      </w:r>
      <w:r w:rsidR="00980B92">
        <w:rPr>
          <w:rFonts w:eastAsia="Times New Roman"/>
          <w:sz w:val="19"/>
          <w:szCs w:val="19"/>
        </w:rPr>
        <w:t xml:space="preserve"> +1-352-777-9660</w:t>
      </w:r>
    </w:p>
    <w:p w:rsidR="00141A88" w:rsidRDefault="00141A88">
      <w:pPr>
        <w:spacing w:line="3" w:lineRule="exact"/>
        <w:rPr>
          <w:sz w:val="24"/>
          <w:szCs w:val="24"/>
        </w:rPr>
      </w:pPr>
    </w:p>
    <w:p w:rsidR="00141A88" w:rsidRDefault="00383119">
      <w:pPr>
        <w:ind w:left="3"/>
        <w:rPr>
          <w:rFonts w:eastAsia="Times New Roman"/>
          <w:sz w:val="16"/>
          <w:szCs w:val="19"/>
        </w:rPr>
      </w:pPr>
      <w:r>
        <w:rPr>
          <w:rFonts w:eastAsia="Times New Roman"/>
          <w:sz w:val="19"/>
          <w:szCs w:val="19"/>
        </w:rPr>
        <w:t>Linked In account:</w:t>
      </w:r>
      <w:r w:rsidR="00980B92">
        <w:rPr>
          <w:rFonts w:eastAsia="Times New Roman"/>
          <w:sz w:val="19"/>
          <w:szCs w:val="19"/>
        </w:rPr>
        <w:t xml:space="preserve"> </w:t>
      </w:r>
      <w:hyperlink r:id="rId9" w:history="1">
        <w:r w:rsidR="00980B92" w:rsidRPr="006F642D">
          <w:rPr>
            <w:rStyle w:val="Hyperlink"/>
            <w:rFonts w:eastAsia="Times New Roman"/>
            <w:sz w:val="16"/>
            <w:szCs w:val="19"/>
          </w:rPr>
          <w:t>www.linkedin.com/in/sujasha-gupta-00706338</w:t>
        </w:r>
      </w:hyperlink>
    </w:p>
    <w:p w:rsidR="00141A88" w:rsidRDefault="00383119">
      <w:pPr>
        <w:spacing w:line="237" w:lineRule="auto"/>
        <w:ind w:left="3"/>
        <w:rPr>
          <w:sz w:val="20"/>
          <w:szCs w:val="20"/>
        </w:rPr>
      </w:pPr>
      <w:r>
        <w:rPr>
          <w:rFonts w:eastAsia="Times New Roman"/>
          <w:sz w:val="19"/>
          <w:szCs w:val="19"/>
        </w:rPr>
        <w:t>Session name/ number:</w:t>
      </w:r>
      <w:r w:rsidR="003C1B95">
        <w:rPr>
          <w:rFonts w:eastAsia="Times New Roman"/>
          <w:sz w:val="19"/>
          <w:szCs w:val="19"/>
        </w:rPr>
        <w:t xml:space="preserve"> Bioelectronics and Bioinstrumentation</w:t>
      </w:r>
    </w:p>
    <w:p w:rsidR="00141A88" w:rsidRDefault="00141A88">
      <w:pPr>
        <w:spacing w:line="3" w:lineRule="exact"/>
        <w:rPr>
          <w:sz w:val="24"/>
          <w:szCs w:val="24"/>
        </w:rPr>
      </w:pPr>
    </w:p>
    <w:p w:rsidR="00141A88" w:rsidRDefault="00383119">
      <w:pPr>
        <w:ind w:left="3"/>
        <w:rPr>
          <w:sz w:val="20"/>
          <w:szCs w:val="20"/>
        </w:rPr>
      </w:pPr>
      <w:r>
        <w:rPr>
          <w:rFonts w:eastAsia="Times New Roman"/>
          <w:sz w:val="19"/>
          <w:szCs w:val="19"/>
        </w:rPr>
        <w:t>Category: Oral presentation</w:t>
      </w:r>
    </w:p>
    <w:p w:rsidR="00141A88" w:rsidRDefault="00383119">
      <w:pPr>
        <w:spacing w:line="237" w:lineRule="auto"/>
        <w:ind w:left="3"/>
        <w:rPr>
          <w:sz w:val="20"/>
          <w:szCs w:val="20"/>
        </w:rPr>
      </w:pPr>
      <w:r>
        <w:rPr>
          <w:rFonts w:eastAsia="Times New Roman"/>
          <w:sz w:val="19"/>
          <w:szCs w:val="19"/>
        </w:rPr>
        <w:t>Passport Number</w:t>
      </w:r>
      <w:r>
        <w:rPr>
          <w:rFonts w:eastAsia="Times New Roman"/>
          <w:sz w:val="18"/>
          <w:szCs w:val="18"/>
        </w:rPr>
        <w:t>:</w:t>
      </w:r>
      <w:r w:rsidR="003C1B95">
        <w:rPr>
          <w:rFonts w:eastAsia="Times New Roman"/>
          <w:sz w:val="18"/>
          <w:szCs w:val="18"/>
        </w:rPr>
        <w:t xml:space="preserve"> S5892289</w:t>
      </w:r>
      <w:bookmarkStart w:id="0" w:name="_GoBack"/>
      <w:bookmarkEnd w:id="0"/>
    </w:p>
    <w:p w:rsidR="00141A88" w:rsidRDefault="00141A88">
      <w:pPr>
        <w:spacing w:line="200" w:lineRule="exact"/>
        <w:rPr>
          <w:sz w:val="24"/>
          <w:szCs w:val="24"/>
        </w:rPr>
      </w:pPr>
    </w:p>
    <w:p w:rsidR="00141A88" w:rsidRDefault="00141A88">
      <w:pPr>
        <w:sectPr w:rsidR="00141A88">
          <w:type w:val="continuous"/>
          <w:pgSz w:w="11900" w:h="16834"/>
          <w:pgMar w:top="1070" w:right="719" w:bottom="0" w:left="740" w:header="0" w:footer="0" w:gutter="0"/>
          <w:cols w:num="2" w:space="720" w:equalWidth="0">
            <w:col w:w="5040" w:space="357"/>
            <w:col w:w="5043"/>
          </w:cols>
        </w:sectPr>
      </w:pPr>
    </w:p>
    <w:p w:rsidR="00141A88" w:rsidRDefault="00141A88">
      <w:pPr>
        <w:spacing w:line="200" w:lineRule="exact"/>
        <w:rPr>
          <w:sz w:val="24"/>
          <w:szCs w:val="24"/>
        </w:rPr>
      </w:pPr>
    </w:p>
    <w:p w:rsidR="00141A88" w:rsidRDefault="00141A88">
      <w:pPr>
        <w:spacing w:line="287" w:lineRule="exact"/>
        <w:rPr>
          <w:sz w:val="24"/>
          <w:szCs w:val="24"/>
        </w:rPr>
      </w:pPr>
    </w:p>
    <w:p w:rsidR="00141A88" w:rsidRDefault="00383119">
      <w:pPr>
        <w:jc w:val="center"/>
        <w:rPr>
          <w:sz w:val="20"/>
          <w:szCs w:val="20"/>
        </w:rPr>
      </w:pPr>
      <w:r>
        <w:rPr>
          <w:rFonts w:eastAsia="Times New Roman"/>
          <w:b/>
          <w:bCs/>
          <w:color w:val="E36C0A"/>
        </w:rPr>
        <w:t>Meetings International Pte Ltd</w:t>
      </w:r>
    </w:p>
    <w:p w:rsidR="00141A88" w:rsidRDefault="00141A88">
      <w:pPr>
        <w:spacing w:line="1" w:lineRule="exact"/>
        <w:rPr>
          <w:sz w:val="24"/>
          <w:szCs w:val="24"/>
        </w:rPr>
      </w:pPr>
    </w:p>
    <w:p w:rsidR="008F5D78" w:rsidRDefault="00383119">
      <w:pPr>
        <w:jc w:val="center"/>
        <w:rPr>
          <w:rFonts w:eastAsia="Times New Roman"/>
          <w:b/>
          <w:bCs/>
          <w:color w:val="E36C0A"/>
        </w:rPr>
      </w:pPr>
      <w:r>
        <w:rPr>
          <w:rFonts w:eastAsia="Times New Roman"/>
          <w:b/>
          <w:bCs/>
          <w:color w:val="E36C0A"/>
        </w:rPr>
        <w:t>Phone/WhatsApp: +65 31581626</w:t>
      </w:r>
    </w:p>
    <w:p w:rsidR="008F5D78" w:rsidRDefault="008F5D78">
      <w:pPr>
        <w:jc w:val="center"/>
        <w:rPr>
          <w:rFonts w:eastAsia="Times New Roman"/>
          <w:b/>
          <w:bCs/>
          <w:color w:val="E36C0A"/>
        </w:rPr>
      </w:pPr>
    </w:p>
    <w:p w:rsidR="00141A88" w:rsidRPr="008F5D78" w:rsidRDefault="00141A88" w:rsidP="008F5D78">
      <w:pPr>
        <w:jc w:val="both"/>
        <w:rPr>
          <w:sz w:val="18"/>
          <w:szCs w:val="18"/>
        </w:rPr>
      </w:pPr>
    </w:p>
    <w:sectPr w:rsidR="00141A88" w:rsidRPr="008F5D78">
      <w:type w:val="continuous"/>
      <w:pgSz w:w="11900" w:h="16834"/>
      <w:pgMar w:top="1070" w:right="719" w:bottom="0" w:left="740" w:header="0" w:footer="0" w:gutter="0"/>
      <w:cols w:space="720" w:equalWidth="0">
        <w:col w:w="1044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1EB"/>
    <w:multiLevelType w:val="hybridMultilevel"/>
    <w:tmpl w:val="A1CA536E"/>
    <w:lvl w:ilvl="0" w:tplc="134A6348">
      <w:start w:val="1"/>
      <w:numFmt w:val="decimal"/>
      <w:lvlText w:val="%1."/>
      <w:lvlJc w:val="left"/>
      <w:rPr>
        <w:rFonts w:ascii="Times New Roman" w:eastAsiaTheme="minorEastAsia" w:hAnsi="Times New Roman" w:cs="Times New Roman"/>
      </w:rPr>
    </w:lvl>
    <w:lvl w:ilvl="1" w:tplc="F22C1002">
      <w:start w:val="1"/>
      <w:numFmt w:val="upperLetter"/>
      <w:lvlText w:val="%2"/>
      <w:lvlJc w:val="left"/>
    </w:lvl>
    <w:lvl w:ilvl="2" w:tplc="91AA9DEE">
      <w:numFmt w:val="decimal"/>
      <w:lvlText w:val=""/>
      <w:lvlJc w:val="left"/>
    </w:lvl>
    <w:lvl w:ilvl="3" w:tplc="5A3C03AE">
      <w:numFmt w:val="decimal"/>
      <w:lvlText w:val=""/>
      <w:lvlJc w:val="left"/>
    </w:lvl>
    <w:lvl w:ilvl="4" w:tplc="A476E904">
      <w:numFmt w:val="decimal"/>
      <w:lvlText w:val=""/>
      <w:lvlJc w:val="left"/>
    </w:lvl>
    <w:lvl w:ilvl="5" w:tplc="D34ED7F4">
      <w:numFmt w:val="decimal"/>
      <w:lvlText w:val=""/>
      <w:lvlJc w:val="left"/>
    </w:lvl>
    <w:lvl w:ilvl="6" w:tplc="503C970C">
      <w:numFmt w:val="decimal"/>
      <w:lvlText w:val=""/>
      <w:lvlJc w:val="left"/>
    </w:lvl>
    <w:lvl w:ilvl="7" w:tplc="33164F8E">
      <w:numFmt w:val="decimal"/>
      <w:lvlText w:val=""/>
      <w:lvlJc w:val="left"/>
    </w:lvl>
    <w:lvl w:ilvl="8" w:tplc="69C4201C">
      <w:numFmt w:val="decimal"/>
      <w:lvlText w:val=""/>
      <w:lvlJc w:val="left"/>
    </w:lvl>
  </w:abstractNum>
  <w:abstractNum w:abstractNumId="1" w15:restartNumberingAfterBreak="0">
    <w:nsid w:val="00000BB3"/>
    <w:multiLevelType w:val="hybridMultilevel"/>
    <w:tmpl w:val="3474AFF2"/>
    <w:lvl w:ilvl="0" w:tplc="5F325432">
      <w:start w:val="2"/>
      <w:numFmt w:val="decimal"/>
      <w:lvlText w:val="%1."/>
      <w:lvlJc w:val="left"/>
    </w:lvl>
    <w:lvl w:ilvl="1" w:tplc="8C0E9414">
      <w:numFmt w:val="decimal"/>
      <w:lvlText w:val=""/>
      <w:lvlJc w:val="left"/>
    </w:lvl>
    <w:lvl w:ilvl="2" w:tplc="25C07874">
      <w:numFmt w:val="decimal"/>
      <w:lvlText w:val=""/>
      <w:lvlJc w:val="left"/>
    </w:lvl>
    <w:lvl w:ilvl="3" w:tplc="979CA648">
      <w:numFmt w:val="decimal"/>
      <w:lvlText w:val=""/>
      <w:lvlJc w:val="left"/>
    </w:lvl>
    <w:lvl w:ilvl="4" w:tplc="94446DCE">
      <w:numFmt w:val="decimal"/>
      <w:lvlText w:val=""/>
      <w:lvlJc w:val="left"/>
    </w:lvl>
    <w:lvl w:ilvl="5" w:tplc="147ACF7C">
      <w:numFmt w:val="decimal"/>
      <w:lvlText w:val=""/>
      <w:lvlJc w:val="left"/>
    </w:lvl>
    <w:lvl w:ilvl="6" w:tplc="5E742472">
      <w:numFmt w:val="decimal"/>
      <w:lvlText w:val=""/>
      <w:lvlJc w:val="left"/>
    </w:lvl>
    <w:lvl w:ilvl="7" w:tplc="79F072AA">
      <w:numFmt w:val="decimal"/>
      <w:lvlText w:val=""/>
      <w:lvlJc w:val="left"/>
    </w:lvl>
    <w:lvl w:ilvl="8" w:tplc="48EE432E">
      <w:numFmt w:val="decimal"/>
      <w:lvlText w:val=""/>
      <w:lvlJc w:val="left"/>
    </w:lvl>
  </w:abstractNum>
  <w:abstractNum w:abstractNumId="2" w15:restartNumberingAfterBreak="0">
    <w:nsid w:val="000026E9"/>
    <w:multiLevelType w:val="hybridMultilevel"/>
    <w:tmpl w:val="8C52C064"/>
    <w:lvl w:ilvl="0" w:tplc="73529456">
      <w:start w:val="1"/>
      <w:numFmt w:val="decimal"/>
      <w:lvlText w:val="%1"/>
      <w:lvlJc w:val="left"/>
    </w:lvl>
    <w:lvl w:ilvl="1" w:tplc="5254B856">
      <w:start w:val="61"/>
      <w:numFmt w:val="upperLetter"/>
      <w:lvlText w:val="%2."/>
      <w:lvlJc w:val="left"/>
    </w:lvl>
    <w:lvl w:ilvl="2" w:tplc="71DEED74">
      <w:numFmt w:val="decimal"/>
      <w:lvlText w:val=""/>
      <w:lvlJc w:val="left"/>
    </w:lvl>
    <w:lvl w:ilvl="3" w:tplc="2C10C564">
      <w:numFmt w:val="decimal"/>
      <w:lvlText w:val=""/>
      <w:lvlJc w:val="left"/>
    </w:lvl>
    <w:lvl w:ilvl="4" w:tplc="3D9840DC">
      <w:numFmt w:val="decimal"/>
      <w:lvlText w:val=""/>
      <w:lvlJc w:val="left"/>
    </w:lvl>
    <w:lvl w:ilvl="5" w:tplc="A7B68F78">
      <w:numFmt w:val="decimal"/>
      <w:lvlText w:val=""/>
      <w:lvlJc w:val="left"/>
    </w:lvl>
    <w:lvl w:ilvl="6" w:tplc="8F927F4A">
      <w:numFmt w:val="decimal"/>
      <w:lvlText w:val=""/>
      <w:lvlJc w:val="left"/>
    </w:lvl>
    <w:lvl w:ilvl="7" w:tplc="BBAA073C">
      <w:numFmt w:val="decimal"/>
      <w:lvlText w:val=""/>
      <w:lvlJc w:val="left"/>
    </w:lvl>
    <w:lvl w:ilvl="8" w:tplc="05BAF7B4">
      <w:numFmt w:val="decimal"/>
      <w:lvlText w:val=""/>
      <w:lvlJc w:val="left"/>
    </w:lvl>
  </w:abstractNum>
  <w:abstractNum w:abstractNumId="3" w15:restartNumberingAfterBreak="0">
    <w:nsid w:val="00002EA6"/>
    <w:multiLevelType w:val="hybridMultilevel"/>
    <w:tmpl w:val="C2282E2E"/>
    <w:lvl w:ilvl="0" w:tplc="E2AA3252">
      <w:start w:val="102"/>
      <w:numFmt w:val="upperLetter"/>
      <w:lvlText w:val="%1"/>
      <w:lvlJc w:val="left"/>
    </w:lvl>
    <w:lvl w:ilvl="1" w:tplc="E28CC244">
      <w:start w:val="1"/>
      <w:numFmt w:val="upperLetter"/>
      <w:lvlText w:val="%2"/>
      <w:lvlJc w:val="left"/>
    </w:lvl>
    <w:lvl w:ilvl="2" w:tplc="2E5CF45E">
      <w:start w:val="22"/>
      <w:numFmt w:val="upperLetter"/>
      <w:lvlText w:val="%3."/>
      <w:lvlJc w:val="left"/>
    </w:lvl>
    <w:lvl w:ilvl="3" w:tplc="76029FEE">
      <w:numFmt w:val="decimal"/>
      <w:lvlText w:val=""/>
      <w:lvlJc w:val="left"/>
    </w:lvl>
    <w:lvl w:ilvl="4" w:tplc="D78EFEA4">
      <w:numFmt w:val="decimal"/>
      <w:lvlText w:val=""/>
      <w:lvlJc w:val="left"/>
    </w:lvl>
    <w:lvl w:ilvl="5" w:tplc="6B644FA8">
      <w:numFmt w:val="decimal"/>
      <w:lvlText w:val=""/>
      <w:lvlJc w:val="left"/>
    </w:lvl>
    <w:lvl w:ilvl="6" w:tplc="4FFE59EC">
      <w:numFmt w:val="decimal"/>
      <w:lvlText w:val=""/>
      <w:lvlJc w:val="left"/>
    </w:lvl>
    <w:lvl w:ilvl="7" w:tplc="29A28C88">
      <w:numFmt w:val="decimal"/>
      <w:lvlText w:val=""/>
      <w:lvlJc w:val="left"/>
    </w:lvl>
    <w:lvl w:ilvl="8" w:tplc="C9CC19B6">
      <w:numFmt w:val="decimal"/>
      <w:lvlText w:val=""/>
      <w:lvlJc w:val="left"/>
    </w:lvl>
  </w:abstractNum>
  <w:abstractNum w:abstractNumId="4" w15:restartNumberingAfterBreak="0">
    <w:nsid w:val="000041BB"/>
    <w:multiLevelType w:val="hybridMultilevel"/>
    <w:tmpl w:val="74E4DC44"/>
    <w:lvl w:ilvl="0" w:tplc="95E86DFA">
      <w:start w:val="35"/>
      <w:numFmt w:val="upperLetter"/>
      <w:lvlText w:val="%1."/>
      <w:lvlJc w:val="left"/>
    </w:lvl>
    <w:lvl w:ilvl="1" w:tplc="A08C924C">
      <w:numFmt w:val="decimal"/>
      <w:lvlText w:val=""/>
      <w:lvlJc w:val="left"/>
    </w:lvl>
    <w:lvl w:ilvl="2" w:tplc="DB20E672">
      <w:numFmt w:val="decimal"/>
      <w:lvlText w:val=""/>
      <w:lvlJc w:val="left"/>
    </w:lvl>
    <w:lvl w:ilvl="3" w:tplc="2BF609C2">
      <w:numFmt w:val="decimal"/>
      <w:lvlText w:val=""/>
      <w:lvlJc w:val="left"/>
    </w:lvl>
    <w:lvl w:ilvl="4" w:tplc="C4E28756">
      <w:numFmt w:val="decimal"/>
      <w:lvlText w:val=""/>
      <w:lvlJc w:val="left"/>
    </w:lvl>
    <w:lvl w:ilvl="5" w:tplc="972AA9F8">
      <w:numFmt w:val="decimal"/>
      <w:lvlText w:val=""/>
      <w:lvlJc w:val="left"/>
    </w:lvl>
    <w:lvl w:ilvl="6" w:tplc="28106538">
      <w:numFmt w:val="decimal"/>
      <w:lvlText w:val=""/>
      <w:lvlJc w:val="left"/>
    </w:lvl>
    <w:lvl w:ilvl="7" w:tplc="88AA5C32">
      <w:numFmt w:val="decimal"/>
      <w:lvlText w:val=""/>
      <w:lvlJc w:val="left"/>
    </w:lvl>
    <w:lvl w:ilvl="8" w:tplc="70EA1ED0">
      <w:numFmt w:val="decimal"/>
      <w:lvlText w:val=""/>
      <w:lvlJc w:val="left"/>
    </w:lvl>
  </w:abstractNum>
  <w:abstractNum w:abstractNumId="5" w15:restartNumberingAfterBreak="0">
    <w:nsid w:val="00005AF1"/>
    <w:multiLevelType w:val="hybridMultilevel"/>
    <w:tmpl w:val="2E38A54A"/>
    <w:lvl w:ilvl="0" w:tplc="9B769018">
      <w:start w:val="9"/>
      <w:numFmt w:val="upperLetter"/>
      <w:lvlText w:val="%1."/>
      <w:lvlJc w:val="left"/>
    </w:lvl>
    <w:lvl w:ilvl="1" w:tplc="4F44339A">
      <w:numFmt w:val="decimal"/>
      <w:lvlText w:val=""/>
      <w:lvlJc w:val="left"/>
    </w:lvl>
    <w:lvl w:ilvl="2" w:tplc="F836B210">
      <w:numFmt w:val="decimal"/>
      <w:lvlText w:val=""/>
      <w:lvlJc w:val="left"/>
    </w:lvl>
    <w:lvl w:ilvl="3" w:tplc="C11AB854">
      <w:numFmt w:val="decimal"/>
      <w:lvlText w:val=""/>
      <w:lvlJc w:val="left"/>
    </w:lvl>
    <w:lvl w:ilvl="4" w:tplc="F0E088B0">
      <w:numFmt w:val="decimal"/>
      <w:lvlText w:val=""/>
      <w:lvlJc w:val="left"/>
    </w:lvl>
    <w:lvl w:ilvl="5" w:tplc="69E4E4D8">
      <w:numFmt w:val="decimal"/>
      <w:lvlText w:val=""/>
      <w:lvlJc w:val="left"/>
    </w:lvl>
    <w:lvl w:ilvl="6" w:tplc="BDE6B2CE">
      <w:numFmt w:val="decimal"/>
      <w:lvlText w:val=""/>
      <w:lvlJc w:val="left"/>
    </w:lvl>
    <w:lvl w:ilvl="7" w:tplc="094E3134">
      <w:numFmt w:val="decimal"/>
      <w:lvlText w:val=""/>
      <w:lvlJc w:val="left"/>
    </w:lvl>
    <w:lvl w:ilvl="8" w:tplc="FCAE5DB6">
      <w:numFmt w:val="decimal"/>
      <w:lvlText w:val=""/>
      <w:lvlJc w:val="left"/>
    </w:lvl>
  </w:abstractNum>
  <w:abstractNum w:abstractNumId="6" w15:restartNumberingAfterBreak="0">
    <w:nsid w:val="09937950"/>
    <w:multiLevelType w:val="hybridMultilevel"/>
    <w:tmpl w:val="2AD0F7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4"/>
  </w:num>
  <w:num w:numId="3">
    <w:abstractNumId w:val="2"/>
  </w:num>
  <w:num w:numId="4">
    <w:abstractNumId w:val="0"/>
  </w:num>
  <w:num w:numId="5">
    <w:abstractNumId w:val="1"/>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1"/>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ature Methods&lt;/Style&gt;&lt;LeftDelim&gt;{&lt;/LeftDelim&gt;&lt;RightDelim&gt;}&lt;/RightDelim&gt;&lt;FontName&gt;Times New Roman&lt;/FontName&gt;&lt;FontSize&gt;11&lt;/FontSize&gt;&lt;ReflistTitle&gt;&lt;/ReflistTitle&gt;&lt;StartingRefnum&gt;1&lt;/StartingRefnum&gt;&lt;FirstLineIndent&gt;0&lt;/FirstLineIndent&gt;&lt;HangingIndent&gt;720&lt;/HangingIndent&gt;&lt;LineSpacing&gt;0&lt;/LineSpacing&gt;&lt;SpaceAfter&gt;0&lt;/SpaceAfter&gt;&lt;/ENLayout&gt;"/>
    <w:docVar w:name="EN.Libraries" w:val="&lt;Libraries&gt;&lt;/Libraries&gt;"/>
  </w:docVars>
  <w:rsids>
    <w:rsidRoot w:val="00141A88"/>
    <w:rsid w:val="00141A88"/>
    <w:rsid w:val="00383119"/>
    <w:rsid w:val="003C1B95"/>
    <w:rsid w:val="0060071D"/>
    <w:rsid w:val="006F79F8"/>
    <w:rsid w:val="00876869"/>
    <w:rsid w:val="008F5D78"/>
    <w:rsid w:val="00980B92"/>
    <w:rsid w:val="00E303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7148CA4-0BC0-40C3-922E-22519956FF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F5D7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8F5D7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8F5D78"/>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8F5D78"/>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rsid w:val="008F5D78"/>
    <w:pPr>
      <w:keepNext/>
      <w:keepLines/>
      <w:spacing w:before="4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80B92"/>
    <w:rPr>
      <w:color w:val="0563C1" w:themeColor="hyperlink"/>
      <w:u w:val="single"/>
    </w:rPr>
  </w:style>
  <w:style w:type="paragraph" w:customStyle="1" w:styleId="EndNoteBibliographyTitle">
    <w:name w:val="EndNote Bibliography Title"/>
    <w:basedOn w:val="Normal"/>
    <w:link w:val="EndNoteBibliographyTitleChar"/>
    <w:rsid w:val="008F5D78"/>
    <w:pPr>
      <w:jc w:val="center"/>
    </w:pPr>
    <w:rPr>
      <w:noProof/>
    </w:rPr>
  </w:style>
  <w:style w:type="character" w:customStyle="1" w:styleId="EndNoteBibliographyTitleChar">
    <w:name w:val="EndNote Bibliography Title Char"/>
    <w:basedOn w:val="DefaultParagraphFont"/>
    <w:link w:val="EndNoteBibliographyTitle"/>
    <w:rsid w:val="008F5D78"/>
    <w:rPr>
      <w:noProof/>
    </w:rPr>
  </w:style>
  <w:style w:type="paragraph" w:customStyle="1" w:styleId="EndNoteBibliography">
    <w:name w:val="EndNote Bibliography"/>
    <w:basedOn w:val="Normal"/>
    <w:link w:val="EndNoteBibliographyChar"/>
    <w:rsid w:val="008F5D78"/>
    <w:pPr>
      <w:jc w:val="center"/>
    </w:pPr>
    <w:rPr>
      <w:noProof/>
    </w:rPr>
  </w:style>
  <w:style w:type="character" w:customStyle="1" w:styleId="EndNoteBibliographyChar">
    <w:name w:val="EndNote Bibliography Char"/>
    <w:basedOn w:val="DefaultParagraphFont"/>
    <w:link w:val="EndNoteBibliography"/>
    <w:rsid w:val="008F5D78"/>
    <w:rPr>
      <w:noProof/>
    </w:rPr>
  </w:style>
  <w:style w:type="character" w:customStyle="1" w:styleId="Heading1Char">
    <w:name w:val="Heading 1 Char"/>
    <w:basedOn w:val="DefaultParagraphFont"/>
    <w:link w:val="Heading1"/>
    <w:uiPriority w:val="9"/>
    <w:rsid w:val="008F5D78"/>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8F5D78"/>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8F5D78"/>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8F5D78"/>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rsid w:val="008F5D78"/>
    <w:rPr>
      <w:rFonts w:asciiTheme="majorHAnsi" w:eastAsiaTheme="majorEastAsia" w:hAnsiTheme="majorHAnsi" w:cstheme="majorBidi"/>
      <w:color w:val="2E74B5" w:themeColor="accent1" w:themeShade="BF"/>
    </w:rPr>
  </w:style>
  <w:style w:type="paragraph" w:styleId="ListParagraph">
    <w:name w:val="List Paragraph"/>
    <w:basedOn w:val="Normal"/>
    <w:uiPriority w:val="34"/>
    <w:qFormat/>
    <w:rsid w:val="008F5D7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openaccessjournals.com/articles/major-risk-factors-for-atherosclerosis-and-metabolic-syndrome-the-uhs-12178.html"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linkedin.com/in/sujasha-gupta-0070633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524D8B-0B7D-42EC-AB9C-CC0753C311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762</Words>
  <Characters>4344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Sujasha Gupta</cp:lastModifiedBy>
  <cp:revision>3</cp:revision>
  <dcterms:created xsi:type="dcterms:W3CDTF">2020-02-18T15:39:00Z</dcterms:created>
  <dcterms:modified xsi:type="dcterms:W3CDTF">2020-02-20T14:44:00Z</dcterms:modified>
</cp:coreProperties>
</file>