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647" w:rsidRPr="002A2649" w:rsidRDefault="00503647" w:rsidP="00503647">
      <w:pPr>
        <w:rPr>
          <w:rFonts w:ascii="Arial" w:hAnsi="Arial" w:cs="Arial"/>
          <w:b/>
        </w:rPr>
      </w:pPr>
      <w:r>
        <w:rPr>
          <w:rFonts w:ascii="Arial" w:hAnsi="Arial" w:cs="Arial"/>
          <w:b/>
        </w:rPr>
        <w:t xml:space="preserve">Epigenetic </w:t>
      </w:r>
      <w:r w:rsidR="002522C4">
        <w:rPr>
          <w:rFonts w:ascii="Arial" w:hAnsi="Arial" w:cs="Arial"/>
          <w:b/>
        </w:rPr>
        <w:t>leukocyte</w:t>
      </w:r>
      <w:r>
        <w:rPr>
          <w:rFonts w:ascii="Arial" w:hAnsi="Arial" w:cs="Arial"/>
          <w:b/>
        </w:rPr>
        <w:t xml:space="preserve"> subtyping using</w:t>
      </w:r>
      <w:r w:rsidRPr="002A2649">
        <w:rPr>
          <w:rFonts w:ascii="Arial" w:hAnsi="Arial" w:cs="Arial"/>
          <w:b/>
        </w:rPr>
        <w:t xml:space="preserve"> digital droplet PCR</w:t>
      </w:r>
      <w:r>
        <w:rPr>
          <w:rFonts w:ascii="Arial" w:hAnsi="Arial" w:cs="Arial"/>
          <w:b/>
        </w:rPr>
        <w:t xml:space="preserve"> for hematological diagnostics</w:t>
      </w:r>
    </w:p>
    <w:p w:rsidR="00AC1966" w:rsidRDefault="00AC1966">
      <w:pPr>
        <w:spacing w:line="204" w:lineRule="exact"/>
        <w:rPr>
          <w:sz w:val="24"/>
          <w:szCs w:val="24"/>
        </w:rPr>
      </w:pPr>
    </w:p>
    <w:p w:rsidR="00503647" w:rsidRDefault="00503647">
      <w:pPr>
        <w:spacing w:line="182" w:lineRule="auto"/>
        <w:rPr>
          <w:rFonts w:eastAsia="Times New Roman"/>
          <w:sz w:val="28"/>
          <w:szCs w:val="28"/>
          <w:vertAlign w:val="superscript"/>
        </w:rPr>
      </w:pPr>
      <w:r w:rsidRPr="00503647">
        <w:rPr>
          <w:rFonts w:eastAsia="Times New Roman"/>
          <w:b/>
          <w:bCs/>
          <w:sz w:val="19"/>
          <w:szCs w:val="19"/>
        </w:rPr>
        <w:t>Lidija Malic</w:t>
      </w:r>
      <w:r w:rsidRPr="00503647">
        <w:rPr>
          <w:rFonts w:eastAsia="Times New Roman"/>
          <w:b/>
          <w:bCs/>
          <w:sz w:val="19"/>
          <w:szCs w:val="19"/>
          <w:vertAlign w:val="superscript"/>
        </w:rPr>
        <w:t>1</w:t>
      </w:r>
      <w:r w:rsidRPr="00503647">
        <w:rPr>
          <w:rFonts w:eastAsia="Times New Roman"/>
          <w:b/>
          <w:bCs/>
          <w:sz w:val="19"/>
          <w:szCs w:val="19"/>
        </w:rPr>
        <w:t>, Jamal Daoud</w:t>
      </w:r>
      <w:r w:rsidRPr="00503647">
        <w:rPr>
          <w:rFonts w:eastAsia="Times New Roman"/>
          <w:b/>
          <w:bCs/>
          <w:sz w:val="19"/>
          <w:szCs w:val="19"/>
          <w:vertAlign w:val="superscript"/>
        </w:rPr>
        <w:t>1</w:t>
      </w:r>
      <w:r w:rsidRPr="00503647">
        <w:rPr>
          <w:rFonts w:eastAsia="Times New Roman"/>
          <w:b/>
          <w:bCs/>
          <w:sz w:val="19"/>
          <w:szCs w:val="19"/>
        </w:rPr>
        <w:t>, Matthias Geissler</w:t>
      </w:r>
      <w:r w:rsidRPr="00503647">
        <w:rPr>
          <w:rFonts w:eastAsia="Times New Roman"/>
          <w:b/>
          <w:bCs/>
          <w:sz w:val="19"/>
          <w:szCs w:val="19"/>
          <w:vertAlign w:val="superscript"/>
        </w:rPr>
        <w:t>1</w:t>
      </w:r>
      <w:r w:rsidRPr="00503647">
        <w:rPr>
          <w:rFonts w:eastAsia="Times New Roman"/>
          <w:b/>
          <w:bCs/>
          <w:sz w:val="19"/>
          <w:szCs w:val="19"/>
        </w:rPr>
        <w:t>, Alex Boutin</w:t>
      </w:r>
      <w:r w:rsidRPr="00503647">
        <w:rPr>
          <w:rFonts w:eastAsia="Times New Roman"/>
          <w:b/>
          <w:bCs/>
          <w:sz w:val="19"/>
          <w:szCs w:val="19"/>
          <w:vertAlign w:val="superscript"/>
        </w:rPr>
        <w:t>1</w:t>
      </w:r>
      <w:r w:rsidRPr="00503647">
        <w:rPr>
          <w:rFonts w:eastAsia="Times New Roman"/>
          <w:b/>
          <w:bCs/>
          <w:sz w:val="19"/>
          <w:szCs w:val="19"/>
        </w:rPr>
        <w:t>, Lukic Ljuboje</w:t>
      </w:r>
      <w:r w:rsidRPr="00503647">
        <w:rPr>
          <w:rFonts w:eastAsia="Times New Roman"/>
          <w:b/>
          <w:bCs/>
          <w:sz w:val="19"/>
          <w:szCs w:val="19"/>
          <w:vertAlign w:val="superscript"/>
        </w:rPr>
        <w:t>1</w:t>
      </w:r>
      <w:r w:rsidRPr="00503647">
        <w:rPr>
          <w:rFonts w:eastAsia="Times New Roman"/>
          <w:b/>
          <w:bCs/>
          <w:sz w:val="19"/>
          <w:szCs w:val="19"/>
        </w:rPr>
        <w:t>, Mojra Janta</w:t>
      </w:r>
      <w:r w:rsidRPr="00503647">
        <w:rPr>
          <w:rFonts w:eastAsia="Times New Roman"/>
          <w:b/>
          <w:bCs/>
          <w:sz w:val="19"/>
          <w:szCs w:val="19"/>
          <w:vertAlign w:val="superscript"/>
        </w:rPr>
        <w:t>1</w:t>
      </w:r>
      <w:r w:rsidRPr="00503647">
        <w:rPr>
          <w:rFonts w:eastAsia="Times New Roman"/>
          <w:b/>
          <w:bCs/>
          <w:sz w:val="19"/>
          <w:szCs w:val="19"/>
        </w:rPr>
        <w:t>, Abdelrahman Elmanzalawy</w:t>
      </w:r>
      <w:r w:rsidRPr="00503647">
        <w:rPr>
          <w:rFonts w:eastAsia="Times New Roman"/>
          <w:b/>
          <w:bCs/>
          <w:sz w:val="19"/>
          <w:szCs w:val="19"/>
          <w:vertAlign w:val="superscript"/>
        </w:rPr>
        <w:t>1</w:t>
      </w:r>
      <w:r w:rsidRPr="00503647">
        <w:rPr>
          <w:rFonts w:eastAsia="Times New Roman"/>
          <w:b/>
          <w:bCs/>
          <w:sz w:val="19"/>
          <w:szCs w:val="19"/>
        </w:rPr>
        <w:t>, and Teodor Veres1</w:t>
      </w:r>
      <w:r w:rsidR="005C359C" w:rsidRPr="00503647">
        <w:rPr>
          <w:rFonts w:eastAsia="Times New Roman"/>
          <w:sz w:val="18"/>
          <w:szCs w:val="18"/>
          <w:vertAlign w:val="superscript"/>
        </w:rPr>
        <w:t>1</w:t>
      </w:r>
    </w:p>
    <w:p w:rsidR="00503647" w:rsidRDefault="00503647" w:rsidP="00503647">
      <w:pPr>
        <w:spacing w:line="181" w:lineRule="auto"/>
        <w:rPr>
          <w:rFonts w:eastAsia="Times New Roman"/>
          <w:sz w:val="18"/>
          <w:szCs w:val="18"/>
        </w:rPr>
      </w:pPr>
    </w:p>
    <w:p w:rsidR="00503647" w:rsidRPr="00503647" w:rsidRDefault="00503647" w:rsidP="00503647">
      <w:pPr>
        <w:spacing w:before="240" w:line="181" w:lineRule="auto"/>
        <w:rPr>
          <w:rFonts w:eastAsia="Times New Roman"/>
          <w:sz w:val="18"/>
          <w:szCs w:val="18"/>
        </w:rPr>
      </w:pPr>
      <w:r w:rsidRPr="00503647">
        <w:rPr>
          <w:rFonts w:eastAsia="Times New Roman"/>
          <w:sz w:val="18"/>
          <w:szCs w:val="18"/>
          <w:vertAlign w:val="superscript"/>
        </w:rPr>
        <w:t>1</w:t>
      </w:r>
      <w:r w:rsidRPr="00503647">
        <w:rPr>
          <w:rFonts w:eastAsia="Times New Roman"/>
          <w:sz w:val="18"/>
          <w:szCs w:val="18"/>
        </w:rPr>
        <w:t xml:space="preserve">Life Sciences Division, National Research Council of Canada, 75 de </w:t>
      </w:r>
      <w:proofErr w:type="spellStart"/>
      <w:r w:rsidRPr="00503647">
        <w:rPr>
          <w:rFonts w:eastAsia="Times New Roman"/>
          <w:sz w:val="18"/>
          <w:szCs w:val="18"/>
        </w:rPr>
        <w:t>Mortagne</w:t>
      </w:r>
      <w:proofErr w:type="spellEnd"/>
      <w:r w:rsidRPr="00503647">
        <w:rPr>
          <w:rFonts w:eastAsia="Times New Roman"/>
          <w:sz w:val="18"/>
          <w:szCs w:val="18"/>
        </w:rPr>
        <w:t xml:space="preserve"> Boulevard, Boucherville, QC, J4B 6Y4, Canada. </w:t>
      </w:r>
    </w:p>
    <w:p w:rsidR="00503647" w:rsidRPr="00503647" w:rsidRDefault="00503647" w:rsidP="00503647">
      <w:pPr>
        <w:spacing w:line="181" w:lineRule="auto"/>
        <w:rPr>
          <w:rFonts w:eastAsia="Times New Roman"/>
          <w:sz w:val="18"/>
          <w:szCs w:val="18"/>
        </w:rPr>
      </w:pPr>
    </w:p>
    <w:p w:rsidR="00AC1966" w:rsidRDefault="00AC1966">
      <w:pPr>
        <w:sectPr w:rsidR="00AC1966">
          <w:pgSz w:w="11900" w:h="16834"/>
          <w:pgMar w:top="1070" w:right="719" w:bottom="0" w:left="740" w:header="0" w:footer="0" w:gutter="0"/>
          <w:cols w:space="720" w:equalWidth="0">
            <w:col w:w="10440"/>
          </w:cols>
        </w:sectPr>
      </w:pPr>
    </w:p>
    <w:p w:rsidR="00AC1966" w:rsidRDefault="00AC1966">
      <w:pPr>
        <w:spacing w:line="200" w:lineRule="exact"/>
        <w:rPr>
          <w:sz w:val="24"/>
          <w:szCs w:val="24"/>
        </w:rPr>
      </w:pPr>
    </w:p>
    <w:p w:rsidR="00AC1966" w:rsidRDefault="00AC1966">
      <w:pPr>
        <w:spacing w:line="351" w:lineRule="exact"/>
        <w:rPr>
          <w:sz w:val="24"/>
          <w:szCs w:val="24"/>
        </w:rPr>
      </w:pPr>
    </w:p>
    <w:p w:rsidR="00AC1966" w:rsidRDefault="005C359C">
      <w:pPr>
        <w:spacing w:line="234" w:lineRule="auto"/>
        <w:ind w:right="680"/>
        <w:rPr>
          <w:sz w:val="20"/>
          <w:szCs w:val="20"/>
        </w:rPr>
      </w:pPr>
      <w:r>
        <w:rPr>
          <w:rFonts w:eastAsia="Times New Roman"/>
          <w:b/>
          <w:bCs/>
          <w:sz w:val="19"/>
          <w:szCs w:val="19"/>
        </w:rPr>
        <w:t>Keywords: Rice lines, Salt stress, Microsatellite (SSR) marker, Protein analysis, Gene expression</w:t>
      </w:r>
    </w:p>
    <w:p w:rsidR="00AC1966" w:rsidRDefault="00AC1966">
      <w:pPr>
        <w:spacing w:line="200" w:lineRule="exact"/>
        <w:rPr>
          <w:sz w:val="24"/>
          <w:szCs w:val="24"/>
        </w:rPr>
      </w:pPr>
    </w:p>
    <w:p w:rsidR="00AC1966" w:rsidRDefault="00AC1966">
      <w:pPr>
        <w:spacing w:line="259" w:lineRule="exact"/>
        <w:rPr>
          <w:sz w:val="24"/>
          <w:szCs w:val="24"/>
        </w:rPr>
      </w:pPr>
    </w:p>
    <w:p w:rsidR="00AC1966" w:rsidRDefault="005C359C">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 (up to 250 words)</w:t>
      </w:r>
    </w:p>
    <w:p w:rsidR="00AC1966" w:rsidRDefault="00AC1966">
      <w:pPr>
        <w:spacing w:line="130" w:lineRule="exact"/>
        <w:rPr>
          <w:sz w:val="24"/>
          <w:szCs w:val="24"/>
        </w:rPr>
      </w:pPr>
    </w:p>
    <w:p w:rsidR="00503647" w:rsidRDefault="00B32A39" w:rsidP="00503647">
      <w:pPr>
        <w:spacing w:line="249" w:lineRule="exact"/>
        <w:jc w:val="both"/>
        <w:rPr>
          <w:sz w:val="24"/>
          <w:szCs w:val="24"/>
        </w:rPr>
      </w:pPr>
      <w:r w:rsidRPr="00B32A39">
        <w:rPr>
          <w:rFonts w:eastAsia="Times New Roman"/>
          <w:sz w:val="19"/>
          <w:szCs w:val="19"/>
        </w:rPr>
        <w:t>Analysis of the composition of white blood cells is among the most frequently requested laboratory tests in hematological diagnostics. Differential leukocyte count serves as indicator for a spectrum of diseases including infection, inflammation, anemia, and leukemia, and is under investigation as early prognostic biomarker for several diseases. Epigenetic markers have recently emerged as powerful analytic tools for the study of phenotypic variations. This has led to the investigation of cell-lineage DNA methylation patterns that correlate with human leukocyte populations, allowing precise quantification of white blood cell (WBC) subset.</w:t>
      </w:r>
      <w:r>
        <w:rPr>
          <w:rFonts w:eastAsia="Times New Roman"/>
          <w:sz w:val="19"/>
          <w:szCs w:val="19"/>
          <w:vertAlign w:val="superscript"/>
        </w:rPr>
        <w:t>1</w:t>
      </w:r>
      <w:proofErr w:type="gramStart"/>
      <w:r>
        <w:rPr>
          <w:rFonts w:eastAsia="Times New Roman"/>
          <w:sz w:val="19"/>
          <w:szCs w:val="19"/>
          <w:vertAlign w:val="superscript"/>
        </w:rPr>
        <w:t>,2</w:t>
      </w:r>
      <w:proofErr w:type="gramEnd"/>
      <w:r w:rsidRPr="00B32A39">
        <w:rPr>
          <w:rFonts w:eastAsia="Times New Roman"/>
          <w:sz w:val="19"/>
          <w:szCs w:val="19"/>
        </w:rPr>
        <w:t xml:space="preserve"> The methods of DNA methylation analysis, however, often require costly and complex techniques involving genome sequencing or loci-specific quantitative PCR (qPCR). Herein, a thermoplastic elastomer droplet microfluidic device is presented and employed for methylation specific digital droplet PCR. The technology has been used to delineate specific leukocyte subtypes based on cell-lineage DNA methylation patterns.</w:t>
      </w:r>
      <w:r w:rsidRPr="00B32A39">
        <w:rPr>
          <w:rFonts w:eastAsia="Times New Roman"/>
          <w:sz w:val="19"/>
          <w:szCs w:val="19"/>
          <w:vertAlign w:val="superscript"/>
        </w:rPr>
        <w:t>3</w:t>
      </w:r>
      <w:r w:rsidRPr="00B32A39">
        <w:rPr>
          <w:rFonts w:eastAsia="Times New Roman"/>
          <w:sz w:val="19"/>
          <w:szCs w:val="19"/>
        </w:rPr>
        <w:t xml:space="preserve"> </w:t>
      </w:r>
      <w:proofErr w:type="spellStart"/>
      <w:r w:rsidRPr="00B32A39">
        <w:rPr>
          <w:rFonts w:eastAsia="Times New Roman"/>
          <w:sz w:val="19"/>
          <w:szCs w:val="19"/>
        </w:rPr>
        <w:t>Bisulfite</w:t>
      </w:r>
      <w:proofErr w:type="spellEnd"/>
      <w:r w:rsidRPr="00B32A39">
        <w:rPr>
          <w:rFonts w:eastAsia="Times New Roman"/>
          <w:sz w:val="19"/>
          <w:szCs w:val="19"/>
        </w:rPr>
        <w:t xml:space="preserve">-treated DNA from blood samples is encapsulated in droplets with </w:t>
      </w:r>
      <w:proofErr w:type="spellStart"/>
      <w:r w:rsidRPr="00B32A39">
        <w:rPr>
          <w:rFonts w:eastAsia="Times New Roman"/>
          <w:sz w:val="19"/>
          <w:szCs w:val="19"/>
        </w:rPr>
        <w:t>ddPCR</w:t>
      </w:r>
      <w:proofErr w:type="spellEnd"/>
      <w:r w:rsidRPr="00B32A39">
        <w:rPr>
          <w:rFonts w:eastAsia="Times New Roman"/>
          <w:sz w:val="19"/>
          <w:szCs w:val="19"/>
        </w:rPr>
        <w:t xml:space="preserve"> reagents containing primers and </w:t>
      </w:r>
      <w:proofErr w:type="spellStart"/>
      <w:r w:rsidRPr="00B32A39">
        <w:rPr>
          <w:rFonts w:eastAsia="Times New Roman"/>
          <w:sz w:val="19"/>
          <w:szCs w:val="19"/>
        </w:rPr>
        <w:t>TaqMan</w:t>
      </w:r>
      <w:proofErr w:type="spellEnd"/>
      <w:r w:rsidRPr="00B32A39">
        <w:rPr>
          <w:rFonts w:eastAsia="Times New Roman"/>
          <w:sz w:val="19"/>
          <w:szCs w:val="19"/>
        </w:rPr>
        <w:t xml:space="preserve"> fluorescent probes specific for </w:t>
      </w:r>
      <w:proofErr w:type="spellStart"/>
      <w:r w:rsidRPr="00B32A39">
        <w:rPr>
          <w:rFonts w:eastAsia="Times New Roman"/>
          <w:sz w:val="19"/>
          <w:szCs w:val="19"/>
        </w:rPr>
        <w:t>CpG</w:t>
      </w:r>
      <w:proofErr w:type="spellEnd"/>
      <w:r w:rsidRPr="00B32A39">
        <w:rPr>
          <w:rFonts w:eastAsia="Times New Roman"/>
          <w:sz w:val="19"/>
          <w:szCs w:val="19"/>
        </w:rPr>
        <w:t xml:space="preserve"> loci correlated with WBC sub-population types.  The multiplex approach allows the interrogation of many </w:t>
      </w:r>
      <w:proofErr w:type="spellStart"/>
      <w:r w:rsidRPr="00B32A39">
        <w:rPr>
          <w:rFonts w:eastAsia="Times New Roman"/>
          <w:sz w:val="19"/>
          <w:szCs w:val="19"/>
        </w:rPr>
        <w:t>CpG</w:t>
      </w:r>
      <w:proofErr w:type="spellEnd"/>
      <w:r w:rsidRPr="00B32A39">
        <w:rPr>
          <w:rFonts w:eastAsia="Times New Roman"/>
          <w:sz w:val="19"/>
          <w:szCs w:val="19"/>
        </w:rPr>
        <w:t xml:space="preserve"> loci without the need for separate </w:t>
      </w:r>
      <w:proofErr w:type="spellStart"/>
      <w:r w:rsidRPr="00B32A39">
        <w:rPr>
          <w:rFonts w:eastAsia="Times New Roman"/>
          <w:sz w:val="19"/>
          <w:szCs w:val="19"/>
        </w:rPr>
        <w:t>ddPCR</w:t>
      </w:r>
      <w:proofErr w:type="spellEnd"/>
      <w:r w:rsidRPr="00B32A39">
        <w:rPr>
          <w:rFonts w:eastAsia="Times New Roman"/>
          <w:sz w:val="19"/>
          <w:szCs w:val="19"/>
        </w:rPr>
        <w:t xml:space="preserve"> reactions, allowing more accurate parametric determination of WBC sub-populations using epigenetic analysis of methylation sites. The presented method achieves multiplex detection of various methylation sites within a single droplet, while promoting customizability and cost-effectiveness, which are prerequisites for translation into clinical diagnostics.</w:t>
      </w:r>
    </w:p>
    <w:p w:rsidR="00AC1966" w:rsidRDefault="005C359C">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AC1966" w:rsidRDefault="00AC1966">
      <w:pPr>
        <w:spacing w:line="20" w:lineRule="exact"/>
        <w:rPr>
          <w:sz w:val="24"/>
          <w:szCs w:val="24"/>
        </w:rPr>
      </w:pPr>
    </w:p>
    <w:p w:rsidR="00AC1966" w:rsidRDefault="00503647">
      <w:pPr>
        <w:spacing w:line="20" w:lineRule="exact"/>
        <w:rPr>
          <w:sz w:val="24"/>
          <w:szCs w:val="24"/>
        </w:rPr>
      </w:pPr>
      <w:r>
        <w:rPr>
          <w:noProof/>
          <w:sz w:val="24"/>
          <w:szCs w:val="24"/>
        </w:rPr>
        <w:drawing>
          <wp:anchor distT="0" distB="0" distL="114300" distR="114300" simplePos="0" relativeHeight="251673088" behindDoc="0" locked="0" layoutInCell="1" allowOverlap="1">
            <wp:simplePos x="0" y="0"/>
            <wp:positionH relativeFrom="column">
              <wp:posOffset>-3175</wp:posOffset>
            </wp:positionH>
            <wp:positionV relativeFrom="paragraph">
              <wp:posOffset>231775</wp:posOffset>
            </wp:positionV>
            <wp:extent cx="2514600" cy="2074545"/>
            <wp:effectExtent l="0" t="0" r="0" b="190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14600" cy="2074545"/>
                    </a:xfrm>
                    <a:prstGeom prst="rect">
                      <a:avLst/>
                    </a:prstGeom>
                    <a:noFill/>
                  </pic:spPr>
                </pic:pic>
              </a:graphicData>
            </a:graphic>
            <wp14:sizeRelH relativeFrom="margin">
              <wp14:pctWidth>0</wp14:pctWidth>
            </wp14:sizeRelH>
            <wp14:sizeRelV relativeFrom="margin">
              <wp14:pctHeight>0</wp14:pctHeight>
            </wp14:sizeRelV>
          </wp:anchor>
        </w:drawing>
      </w:r>
      <w:r w:rsidR="005C359C">
        <w:rPr>
          <w:sz w:val="24"/>
          <w:szCs w:val="24"/>
        </w:rPr>
        <w:br w:type="column"/>
      </w:r>
    </w:p>
    <w:p w:rsidR="00AC1966" w:rsidRDefault="00AC1966">
      <w:pPr>
        <w:spacing w:line="200" w:lineRule="exact"/>
        <w:rPr>
          <w:sz w:val="24"/>
          <w:szCs w:val="24"/>
        </w:rPr>
      </w:pPr>
    </w:p>
    <w:p w:rsidR="00AC1966" w:rsidRDefault="00AC1966">
      <w:pPr>
        <w:spacing w:line="309" w:lineRule="exact"/>
        <w:rPr>
          <w:sz w:val="24"/>
          <w:szCs w:val="24"/>
        </w:rPr>
      </w:pPr>
    </w:p>
    <w:p w:rsidR="00AC1966" w:rsidRDefault="005C359C">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rsidR="00AC1966" w:rsidRDefault="00AC1966">
      <w:pPr>
        <w:spacing w:line="235" w:lineRule="exact"/>
        <w:rPr>
          <w:rFonts w:eastAsia="Times New Roman"/>
          <w:b/>
          <w:bCs/>
          <w:sz w:val="19"/>
          <w:szCs w:val="19"/>
        </w:rPr>
      </w:pPr>
    </w:p>
    <w:p w:rsidR="00AC1966" w:rsidRDefault="00B32A39" w:rsidP="00B32A39">
      <w:pPr>
        <w:numPr>
          <w:ilvl w:val="0"/>
          <w:numId w:val="4"/>
        </w:numPr>
        <w:tabs>
          <w:tab w:val="left" w:pos="723"/>
        </w:tabs>
        <w:spacing w:line="241" w:lineRule="auto"/>
        <w:ind w:left="723" w:right="160" w:hanging="363"/>
        <w:jc w:val="both"/>
        <w:rPr>
          <w:rFonts w:eastAsia="Times New Roman"/>
          <w:sz w:val="18"/>
          <w:szCs w:val="18"/>
        </w:rPr>
      </w:pPr>
      <w:r w:rsidRPr="00B32A39">
        <w:rPr>
          <w:rFonts w:eastAsia="Times New Roman"/>
          <w:sz w:val="18"/>
          <w:szCs w:val="18"/>
        </w:rPr>
        <w:t xml:space="preserve">Koestler, D.C., Christensen, B.C., </w:t>
      </w:r>
      <w:proofErr w:type="spellStart"/>
      <w:r w:rsidRPr="00B32A39">
        <w:rPr>
          <w:rFonts w:eastAsia="Times New Roman"/>
          <w:sz w:val="18"/>
          <w:szCs w:val="18"/>
        </w:rPr>
        <w:t>Karagas</w:t>
      </w:r>
      <w:proofErr w:type="spellEnd"/>
      <w:r w:rsidRPr="00B32A39">
        <w:rPr>
          <w:rFonts w:eastAsia="Times New Roman"/>
          <w:sz w:val="18"/>
          <w:szCs w:val="18"/>
        </w:rPr>
        <w:t xml:space="preserve">, M.R., </w:t>
      </w:r>
      <w:proofErr w:type="spellStart"/>
      <w:r w:rsidRPr="00B32A39">
        <w:rPr>
          <w:rFonts w:eastAsia="Times New Roman"/>
          <w:sz w:val="18"/>
          <w:szCs w:val="18"/>
        </w:rPr>
        <w:t>Marsit</w:t>
      </w:r>
      <w:proofErr w:type="spellEnd"/>
      <w:r w:rsidRPr="00B32A39">
        <w:rPr>
          <w:rFonts w:eastAsia="Times New Roman"/>
          <w:sz w:val="18"/>
          <w:szCs w:val="18"/>
        </w:rPr>
        <w:t xml:space="preserve">, C.J., </w:t>
      </w:r>
      <w:proofErr w:type="spellStart"/>
      <w:r w:rsidRPr="00B32A39">
        <w:rPr>
          <w:rFonts w:eastAsia="Times New Roman"/>
          <w:sz w:val="18"/>
          <w:szCs w:val="18"/>
        </w:rPr>
        <w:t>Langevin</w:t>
      </w:r>
      <w:proofErr w:type="spellEnd"/>
      <w:r w:rsidRPr="00B32A39">
        <w:rPr>
          <w:rFonts w:eastAsia="Times New Roman"/>
          <w:sz w:val="18"/>
          <w:szCs w:val="18"/>
        </w:rPr>
        <w:t xml:space="preserve">, S.M., Kelsey, K.T., </w:t>
      </w:r>
      <w:proofErr w:type="spellStart"/>
      <w:r w:rsidRPr="00B32A39">
        <w:rPr>
          <w:rFonts w:eastAsia="Times New Roman"/>
          <w:sz w:val="18"/>
          <w:szCs w:val="18"/>
        </w:rPr>
        <w:t>Wiencke</w:t>
      </w:r>
      <w:proofErr w:type="spellEnd"/>
      <w:r w:rsidRPr="00B32A39">
        <w:rPr>
          <w:rFonts w:eastAsia="Times New Roman"/>
          <w:sz w:val="18"/>
          <w:szCs w:val="18"/>
        </w:rPr>
        <w:t>, J.K. and Houseman, E.A., 2013. Blood-based profiles of DNA methylation predict the underlying distribution of cell types: a validation analysis. Epigenetics, 8(8), pp.816-826.</w:t>
      </w:r>
    </w:p>
    <w:p w:rsidR="00AC1966" w:rsidRDefault="00AC1966" w:rsidP="005C359C">
      <w:pPr>
        <w:spacing w:line="227" w:lineRule="exact"/>
        <w:jc w:val="both"/>
        <w:rPr>
          <w:sz w:val="24"/>
          <w:szCs w:val="24"/>
        </w:rPr>
      </w:pPr>
    </w:p>
    <w:p w:rsidR="00AC1966" w:rsidRDefault="00B32A39" w:rsidP="00B32A39">
      <w:pPr>
        <w:numPr>
          <w:ilvl w:val="0"/>
          <w:numId w:val="5"/>
        </w:numPr>
        <w:tabs>
          <w:tab w:val="left" w:pos="723"/>
        </w:tabs>
        <w:spacing w:line="236" w:lineRule="auto"/>
        <w:ind w:left="723" w:right="240" w:hanging="363"/>
        <w:jc w:val="both"/>
        <w:rPr>
          <w:rFonts w:eastAsia="Times New Roman"/>
          <w:sz w:val="19"/>
          <w:szCs w:val="19"/>
        </w:rPr>
      </w:pPr>
      <w:proofErr w:type="spellStart"/>
      <w:r w:rsidRPr="00B32A39">
        <w:rPr>
          <w:rFonts w:eastAsia="Times New Roman"/>
          <w:sz w:val="19"/>
          <w:szCs w:val="19"/>
        </w:rPr>
        <w:t>Accomando</w:t>
      </w:r>
      <w:proofErr w:type="spellEnd"/>
      <w:r w:rsidRPr="00B32A39">
        <w:rPr>
          <w:rFonts w:eastAsia="Times New Roman"/>
          <w:sz w:val="19"/>
          <w:szCs w:val="19"/>
        </w:rPr>
        <w:t xml:space="preserve">, W.P., </w:t>
      </w:r>
      <w:proofErr w:type="spellStart"/>
      <w:r w:rsidRPr="00B32A39">
        <w:rPr>
          <w:rFonts w:eastAsia="Times New Roman"/>
          <w:sz w:val="19"/>
          <w:szCs w:val="19"/>
        </w:rPr>
        <w:t>Wiencke</w:t>
      </w:r>
      <w:proofErr w:type="spellEnd"/>
      <w:r w:rsidRPr="00B32A39">
        <w:rPr>
          <w:rFonts w:eastAsia="Times New Roman"/>
          <w:sz w:val="19"/>
          <w:szCs w:val="19"/>
        </w:rPr>
        <w:t>, J.K., Houseman, E.A., Nelson, H.H. and Kelsey, K.T., 2014. Quantitative reconstruction of leukocyte subsets using DNA methylation. Genome biology, 15(3), p.R50.</w:t>
      </w:r>
    </w:p>
    <w:p w:rsidR="00AC1966" w:rsidRDefault="00AC1966" w:rsidP="005C359C">
      <w:pPr>
        <w:spacing w:line="246" w:lineRule="exact"/>
        <w:jc w:val="both"/>
        <w:rPr>
          <w:rFonts w:eastAsia="Times New Roman"/>
          <w:sz w:val="19"/>
          <w:szCs w:val="19"/>
        </w:rPr>
      </w:pPr>
    </w:p>
    <w:p w:rsidR="00AC1966" w:rsidRDefault="005C359C" w:rsidP="005C359C">
      <w:pPr>
        <w:numPr>
          <w:ilvl w:val="0"/>
          <w:numId w:val="5"/>
        </w:numPr>
        <w:tabs>
          <w:tab w:val="left" w:pos="723"/>
        </w:tabs>
        <w:spacing w:line="236" w:lineRule="auto"/>
        <w:ind w:left="723" w:right="80" w:hanging="363"/>
        <w:jc w:val="both"/>
        <w:rPr>
          <w:rFonts w:eastAsia="Times New Roman"/>
          <w:sz w:val="19"/>
          <w:szCs w:val="19"/>
        </w:rPr>
      </w:pPr>
      <w:r w:rsidRPr="005C359C">
        <w:rPr>
          <w:rFonts w:eastAsia="Times New Roman"/>
          <w:sz w:val="19"/>
          <w:szCs w:val="19"/>
        </w:rPr>
        <w:t xml:space="preserve">Malic, L., Daoud, J., Geissler, M., Boutin, A., Lukic, L., </w:t>
      </w:r>
      <w:proofErr w:type="spellStart"/>
      <w:r w:rsidRPr="005C359C">
        <w:rPr>
          <w:rFonts w:eastAsia="Times New Roman"/>
          <w:sz w:val="19"/>
          <w:szCs w:val="19"/>
        </w:rPr>
        <w:t>Janta</w:t>
      </w:r>
      <w:proofErr w:type="spellEnd"/>
      <w:r w:rsidRPr="005C359C">
        <w:rPr>
          <w:rFonts w:eastAsia="Times New Roman"/>
          <w:sz w:val="19"/>
          <w:szCs w:val="19"/>
        </w:rPr>
        <w:t>, M., Elmanzalawy, A. and Veres, T., 2019. Epigenetic subtyping of white blood cells using a thermoplastic elastomer-based microfluidic emulsification device for multiplexed, methylation-specific digital droplet PCR. Analyst, 144(22), 6541-6553.</w:t>
      </w:r>
    </w:p>
    <w:p w:rsidR="00AC1966" w:rsidRDefault="00AC1966">
      <w:pPr>
        <w:spacing w:line="230" w:lineRule="exact"/>
        <w:rPr>
          <w:sz w:val="24"/>
          <w:szCs w:val="24"/>
        </w:rPr>
      </w:pPr>
    </w:p>
    <w:p w:rsidR="00AC1966" w:rsidRDefault="005C359C">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rsidR="00AC1966" w:rsidRDefault="00AC1966">
      <w:pPr>
        <w:spacing w:line="130" w:lineRule="exact"/>
        <w:rPr>
          <w:sz w:val="24"/>
          <w:szCs w:val="24"/>
        </w:rPr>
      </w:pPr>
    </w:p>
    <w:p w:rsidR="00AC1966" w:rsidRDefault="00503647" w:rsidP="00503647">
      <w:pPr>
        <w:spacing w:line="230" w:lineRule="exact"/>
        <w:jc w:val="both"/>
        <w:rPr>
          <w:rFonts w:eastAsia="Times New Roman"/>
          <w:sz w:val="19"/>
          <w:szCs w:val="19"/>
        </w:rPr>
      </w:pPr>
      <w:r w:rsidRPr="00503647">
        <w:rPr>
          <w:rFonts w:eastAsia="Times New Roman"/>
          <w:sz w:val="19"/>
          <w:szCs w:val="19"/>
        </w:rPr>
        <w:t xml:space="preserve">Lidija Malic is a Research Officer leading the Precision Diagnostics team at the Bio-Analytical-Micro-Nano-Devices Section, Life Sciences Division of the National Research Council of Canada. She also holds an Adjunct Professorship at the Biomedical Engineering Department at McGill University. Her research is focused on the development of </w:t>
      </w:r>
      <w:proofErr w:type="spellStart"/>
      <w:r w:rsidRPr="00503647">
        <w:rPr>
          <w:rFonts w:eastAsia="Times New Roman"/>
          <w:sz w:val="19"/>
          <w:szCs w:val="19"/>
        </w:rPr>
        <w:t>electrowetting</w:t>
      </w:r>
      <w:proofErr w:type="spellEnd"/>
      <w:r w:rsidRPr="00503647">
        <w:rPr>
          <w:rFonts w:eastAsia="Times New Roman"/>
          <w:sz w:val="19"/>
          <w:szCs w:val="19"/>
        </w:rPr>
        <w:t>, centrifugal and pressure-driven microfluidic devices in polymer materials for applications in medical diagnosis, food and water safety, single cell analytics, and space related applications. Lidija holds a PhD from the department of Biomedical Engineering, McGill University in Montreal, Canada and an MBA from John Molson School of Business in Montreal, Canada.</w:t>
      </w:r>
    </w:p>
    <w:p w:rsidR="00503647" w:rsidRDefault="00503647">
      <w:pPr>
        <w:spacing w:line="230" w:lineRule="exact"/>
        <w:rPr>
          <w:rFonts w:eastAsia="Times New Roman"/>
          <w:sz w:val="19"/>
          <w:szCs w:val="19"/>
        </w:rPr>
      </w:pPr>
    </w:p>
    <w:p w:rsidR="00AC1966" w:rsidRDefault="005C359C">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rsidR="00AC1966" w:rsidRDefault="00503647">
      <w:pPr>
        <w:spacing w:line="20" w:lineRule="exact"/>
        <w:rPr>
          <w:sz w:val="24"/>
          <w:szCs w:val="24"/>
        </w:rPr>
      </w:pPr>
      <w:r>
        <w:rPr>
          <w:noProof/>
        </w:rPr>
        <w:drawing>
          <wp:anchor distT="0" distB="0" distL="114300" distR="114300" simplePos="0" relativeHeight="251656704" behindDoc="0" locked="0" layoutInCell="1" allowOverlap="1">
            <wp:simplePos x="0" y="0"/>
            <wp:positionH relativeFrom="column">
              <wp:posOffset>-1270</wp:posOffset>
            </wp:positionH>
            <wp:positionV relativeFrom="paragraph">
              <wp:posOffset>127635</wp:posOffset>
            </wp:positionV>
            <wp:extent cx="1104900" cy="1341120"/>
            <wp:effectExtent l="0" t="0" r="0" b="0"/>
            <wp:wrapTopAndBottom/>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04900" cy="1341120"/>
                    </a:xfrm>
                    <a:prstGeom prst="rect">
                      <a:avLst/>
                    </a:prstGeom>
                  </pic:spPr>
                </pic:pic>
              </a:graphicData>
            </a:graphic>
          </wp:anchor>
        </w:drawing>
      </w:r>
    </w:p>
    <w:p w:rsidR="00AC1966" w:rsidRDefault="00AC1966">
      <w:pPr>
        <w:spacing w:line="200" w:lineRule="exact"/>
        <w:rPr>
          <w:sz w:val="24"/>
          <w:szCs w:val="24"/>
        </w:rPr>
      </w:pPr>
    </w:p>
    <w:p w:rsidR="00AC1966" w:rsidRDefault="00AC1966">
      <w:pPr>
        <w:spacing w:line="200" w:lineRule="exact"/>
        <w:rPr>
          <w:sz w:val="24"/>
          <w:szCs w:val="24"/>
        </w:rPr>
      </w:pPr>
    </w:p>
    <w:p w:rsidR="00AC1966" w:rsidRDefault="005C359C">
      <w:pPr>
        <w:ind w:left="3"/>
        <w:rPr>
          <w:sz w:val="20"/>
          <w:szCs w:val="20"/>
        </w:rPr>
      </w:pPr>
      <w:r>
        <w:rPr>
          <w:rFonts w:eastAsia="Times New Roman"/>
          <w:sz w:val="19"/>
          <w:szCs w:val="19"/>
        </w:rPr>
        <w:t>Full Name:</w:t>
      </w:r>
      <w:r w:rsidR="00503647">
        <w:rPr>
          <w:rFonts w:eastAsia="Times New Roman"/>
          <w:sz w:val="19"/>
          <w:szCs w:val="19"/>
        </w:rPr>
        <w:t xml:space="preserve"> Lidija Malic</w:t>
      </w:r>
    </w:p>
    <w:p w:rsidR="00AC1966" w:rsidRDefault="00AC1966">
      <w:pPr>
        <w:spacing w:line="2" w:lineRule="exact"/>
        <w:rPr>
          <w:sz w:val="24"/>
          <w:szCs w:val="24"/>
        </w:rPr>
      </w:pPr>
    </w:p>
    <w:p w:rsidR="00AC1966" w:rsidRDefault="005C359C">
      <w:pPr>
        <w:ind w:left="3"/>
        <w:rPr>
          <w:sz w:val="20"/>
          <w:szCs w:val="20"/>
        </w:rPr>
      </w:pPr>
      <w:r>
        <w:rPr>
          <w:rFonts w:eastAsia="Times New Roman"/>
          <w:sz w:val="19"/>
          <w:szCs w:val="19"/>
        </w:rPr>
        <w:t>Contact number:</w:t>
      </w:r>
      <w:r w:rsidR="00503647">
        <w:rPr>
          <w:rFonts w:eastAsia="Times New Roman"/>
          <w:sz w:val="19"/>
          <w:szCs w:val="19"/>
        </w:rPr>
        <w:t xml:space="preserve"> 450-641-5127</w:t>
      </w:r>
    </w:p>
    <w:p w:rsidR="00AC1966" w:rsidRDefault="005C359C">
      <w:pPr>
        <w:spacing w:line="237" w:lineRule="auto"/>
        <w:ind w:left="3"/>
        <w:rPr>
          <w:sz w:val="20"/>
          <w:szCs w:val="20"/>
        </w:rPr>
      </w:pPr>
      <w:r>
        <w:rPr>
          <w:rFonts w:eastAsia="Times New Roman"/>
          <w:sz w:val="19"/>
          <w:szCs w:val="19"/>
        </w:rPr>
        <w:t>Twitter account:</w:t>
      </w:r>
      <w:r w:rsidR="00B32A39">
        <w:rPr>
          <w:rFonts w:eastAsia="Times New Roman"/>
          <w:sz w:val="19"/>
          <w:szCs w:val="19"/>
        </w:rPr>
        <w:t xml:space="preserve"> N/A</w:t>
      </w:r>
    </w:p>
    <w:p w:rsidR="00AC1966" w:rsidRDefault="00AC1966">
      <w:pPr>
        <w:spacing w:line="3" w:lineRule="exact"/>
        <w:rPr>
          <w:sz w:val="24"/>
          <w:szCs w:val="24"/>
        </w:rPr>
      </w:pPr>
    </w:p>
    <w:p w:rsidR="00AC1966" w:rsidRDefault="005C359C">
      <w:pPr>
        <w:ind w:left="3"/>
        <w:rPr>
          <w:sz w:val="20"/>
          <w:szCs w:val="20"/>
        </w:rPr>
      </w:pPr>
      <w:r>
        <w:rPr>
          <w:rFonts w:eastAsia="Times New Roman"/>
          <w:sz w:val="19"/>
          <w:szCs w:val="19"/>
        </w:rPr>
        <w:t>Linked In account:</w:t>
      </w:r>
      <w:r w:rsidR="00503647" w:rsidRPr="00503647">
        <w:t xml:space="preserve"> </w:t>
      </w:r>
      <w:r w:rsidR="00503647" w:rsidRPr="00503647">
        <w:rPr>
          <w:rFonts w:eastAsia="Times New Roman"/>
          <w:sz w:val="19"/>
          <w:szCs w:val="19"/>
        </w:rPr>
        <w:t>https://www.linkedin.com/in/lidija-malic-2533622</w:t>
      </w:r>
    </w:p>
    <w:p w:rsidR="00AC1966" w:rsidRDefault="005C359C">
      <w:pPr>
        <w:spacing w:line="237" w:lineRule="auto"/>
        <w:ind w:left="3"/>
        <w:rPr>
          <w:sz w:val="20"/>
          <w:szCs w:val="20"/>
        </w:rPr>
      </w:pPr>
      <w:r>
        <w:rPr>
          <w:rFonts w:eastAsia="Times New Roman"/>
          <w:sz w:val="19"/>
          <w:szCs w:val="19"/>
        </w:rPr>
        <w:t>Session name/ number:</w:t>
      </w:r>
      <w:r w:rsidR="00CE1C21">
        <w:rPr>
          <w:rFonts w:eastAsia="Times New Roman"/>
          <w:sz w:val="19"/>
          <w:szCs w:val="19"/>
        </w:rPr>
        <w:t xml:space="preserve"> Lab on a chip and multiplexed sensors</w:t>
      </w:r>
      <w:bookmarkStart w:id="0" w:name="_GoBack"/>
      <w:bookmarkEnd w:id="0"/>
    </w:p>
    <w:p w:rsidR="00AC1966" w:rsidRDefault="00AC1966">
      <w:pPr>
        <w:spacing w:line="3" w:lineRule="exact"/>
        <w:rPr>
          <w:sz w:val="24"/>
          <w:szCs w:val="24"/>
        </w:rPr>
      </w:pPr>
    </w:p>
    <w:p w:rsidR="00AC1966" w:rsidRDefault="005C359C">
      <w:pPr>
        <w:ind w:left="3"/>
        <w:rPr>
          <w:sz w:val="20"/>
          <w:szCs w:val="20"/>
        </w:rPr>
      </w:pPr>
      <w:r>
        <w:rPr>
          <w:rFonts w:eastAsia="Times New Roman"/>
          <w:sz w:val="19"/>
          <w:szCs w:val="19"/>
        </w:rPr>
        <w:t xml:space="preserve">Category: </w:t>
      </w:r>
      <w:r w:rsidR="00CE1C21">
        <w:rPr>
          <w:rFonts w:eastAsia="Times New Roman"/>
          <w:sz w:val="19"/>
          <w:szCs w:val="19"/>
        </w:rPr>
        <w:t>Speaker</w:t>
      </w:r>
    </w:p>
    <w:p w:rsidR="00AC1966" w:rsidRDefault="005C359C">
      <w:pPr>
        <w:spacing w:line="237" w:lineRule="auto"/>
        <w:ind w:left="3"/>
        <w:rPr>
          <w:sz w:val="20"/>
          <w:szCs w:val="20"/>
        </w:rPr>
      </w:pPr>
      <w:r>
        <w:rPr>
          <w:rFonts w:eastAsia="Times New Roman"/>
          <w:sz w:val="19"/>
          <w:szCs w:val="19"/>
        </w:rPr>
        <w:t>Passport Number</w:t>
      </w:r>
      <w:r>
        <w:rPr>
          <w:rFonts w:eastAsia="Times New Roman"/>
          <w:sz w:val="18"/>
          <w:szCs w:val="18"/>
        </w:rPr>
        <w:t>:</w:t>
      </w:r>
    </w:p>
    <w:p w:rsidR="00AC1966" w:rsidRDefault="00AC1966">
      <w:pPr>
        <w:spacing w:line="200" w:lineRule="exact"/>
        <w:rPr>
          <w:sz w:val="24"/>
          <w:szCs w:val="24"/>
        </w:rPr>
      </w:pPr>
    </w:p>
    <w:p w:rsidR="00AC1966" w:rsidRDefault="00AC1966">
      <w:pPr>
        <w:sectPr w:rsidR="00AC1966">
          <w:type w:val="continuous"/>
          <w:pgSz w:w="11900" w:h="16834"/>
          <w:pgMar w:top="1070" w:right="719" w:bottom="0" w:left="740" w:header="0" w:footer="0" w:gutter="0"/>
          <w:cols w:num="2" w:space="720" w:equalWidth="0">
            <w:col w:w="5040" w:space="357"/>
            <w:col w:w="5043"/>
          </w:cols>
        </w:sect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00" w:lineRule="exact"/>
        <w:rPr>
          <w:sz w:val="24"/>
          <w:szCs w:val="24"/>
        </w:rPr>
      </w:pPr>
    </w:p>
    <w:p w:rsidR="00AC1966" w:rsidRDefault="00AC1966">
      <w:pPr>
        <w:spacing w:line="287" w:lineRule="exact"/>
        <w:rPr>
          <w:sz w:val="24"/>
          <w:szCs w:val="24"/>
        </w:rPr>
      </w:pPr>
    </w:p>
    <w:p w:rsidR="00AC1966" w:rsidRDefault="005C359C">
      <w:pPr>
        <w:jc w:val="center"/>
        <w:rPr>
          <w:sz w:val="20"/>
          <w:szCs w:val="20"/>
        </w:rPr>
      </w:pPr>
      <w:r>
        <w:rPr>
          <w:rFonts w:eastAsia="Times New Roman"/>
          <w:b/>
          <w:bCs/>
          <w:color w:val="E36C0A"/>
        </w:rPr>
        <w:t>Meetings International Pte Ltd</w:t>
      </w:r>
    </w:p>
    <w:p w:rsidR="00AC1966" w:rsidRDefault="00AC1966">
      <w:pPr>
        <w:spacing w:line="1" w:lineRule="exact"/>
        <w:rPr>
          <w:sz w:val="24"/>
          <w:szCs w:val="24"/>
        </w:rPr>
      </w:pPr>
    </w:p>
    <w:p w:rsidR="00AC1966" w:rsidRDefault="005C359C">
      <w:pPr>
        <w:jc w:val="center"/>
        <w:rPr>
          <w:sz w:val="20"/>
          <w:szCs w:val="20"/>
        </w:rPr>
      </w:pPr>
      <w:r>
        <w:rPr>
          <w:rFonts w:eastAsia="Times New Roman"/>
          <w:b/>
          <w:bCs/>
          <w:color w:val="E36C0A"/>
        </w:rPr>
        <w:t>Phone/WhatsApp: +65 31581626</w:t>
      </w:r>
    </w:p>
    <w:sectPr w:rsidR="00AC1966">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1EB"/>
    <w:multiLevelType w:val="hybridMultilevel"/>
    <w:tmpl w:val="D9B6B04C"/>
    <w:lvl w:ilvl="0" w:tplc="D97AC318">
      <w:start w:val="1"/>
      <w:numFmt w:val="decimal"/>
      <w:lvlText w:val="%1"/>
      <w:lvlJc w:val="left"/>
    </w:lvl>
    <w:lvl w:ilvl="1" w:tplc="0100AAE6">
      <w:start w:val="1"/>
      <w:numFmt w:val="upperLetter"/>
      <w:lvlText w:val="%2"/>
      <w:lvlJc w:val="left"/>
    </w:lvl>
    <w:lvl w:ilvl="2" w:tplc="BB4E2DFE">
      <w:numFmt w:val="decimal"/>
      <w:lvlText w:val=""/>
      <w:lvlJc w:val="left"/>
    </w:lvl>
    <w:lvl w:ilvl="3" w:tplc="CD9EDC46">
      <w:numFmt w:val="decimal"/>
      <w:lvlText w:val=""/>
      <w:lvlJc w:val="left"/>
    </w:lvl>
    <w:lvl w:ilvl="4" w:tplc="0E8EB71E">
      <w:numFmt w:val="decimal"/>
      <w:lvlText w:val=""/>
      <w:lvlJc w:val="left"/>
    </w:lvl>
    <w:lvl w:ilvl="5" w:tplc="95685B92">
      <w:numFmt w:val="decimal"/>
      <w:lvlText w:val=""/>
      <w:lvlJc w:val="left"/>
    </w:lvl>
    <w:lvl w:ilvl="6" w:tplc="65B655F6">
      <w:numFmt w:val="decimal"/>
      <w:lvlText w:val=""/>
      <w:lvlJc w:val="left"/>
    </w:lvl>
    <w:lvl w:ilvl="7" w:tplc="4C7EDF60">
      <w:numFmt w:val="decimal"/>
      <w:lvlText w:val=""/>
      <w:lvlJc w:val="left"/>
    </w:lvl>
    <w:lvl w:ilvl="8" w:tplc="0CC07CFA">
      <w:numFmt w:val="decimal"/>
      <w:lvlText w:val=""/>
      <w:lvlJc w:val="left"/>
    </w:lvl>
  </w:abstractNum>
  <w:abstractNum w:abstractNumId="1" w15:restartNumberingAfterBreak="0">
    <w:nsid w:val="00000BB3"/>
    <w:multiLevelType w:val="hybridMultilevel"/>
    <w:tmpl w:val="251C12C2"/>
    <w:lvl w:ilvl="0" w:tplc="14AC6722">
      <w:start w:val="2"/>
      <w:numFmt w:val="decimal"/>
      <w:lvlText w:val="%1."/>
      <w:lvlJc w:val="left"/>
    </w:lvl>
    <w:lvl w:ilvl="1" w:tplc="EF2C0826">
      <w:numFmt w:val="decimal"/>
      <w:lvlText w:val=""/>
      <w:lvlJc w:val="left"/>
    </w:lvl>
    <w:lvl w:ilvl="2" w:tplc="1AC088A4">
      <w:numFmt w:val="decimal"/>
      <w:lvlText w:val=""/>
      <w:lvlJc w:val="left"/>
    </w:lvl>
    <w:lvl w:ilvl="3" w:tplc="8FA89DEC">
      <w:numFmt w:val="decimal"/>
      <w:lvlText w:val=""/>
      <w:lvlJc w:val="left"/>
    </w:lvl>
    <w:lvl w:ilvl="4" w:tplc="E990D646">
      <w:numFmt w:val="decimal"/>
      <w:lvlText w:val=""/>
      <w:lvlJc w:val="left"/>
    </w:lvl>
    <w:lvl w:ilvl="5" w:tplc="C1FEE796">
      <w:numFmt w:val="decimal"/>
      <w:lvlText w:val=""/>
      <w:lvlJc w:val="left"/>
    </w:lvl>
    <w:lvl w:ilvl="6" w:tplc="F0FCAA00">
      <w:numFmt w:val="decimal"/>
      <w:lvlText w:val=""/>
      <w:lvlJc w:val="left"/>
    </w:lvl>
    <w:lvl w:ilvl="7" w:tplc="55DE8BD4">
      <w:numFmt w:val="decimal"/>
      <w:lvlText w:val=""/>
      <w:lvlJc w:val="left"/>
    </w:lvl>
    <w:lvl w:ilvl="8" w:tplc="D138FAC2">
      <w:numFmt w:val="decimal"/>
      <w:lvlText w:val=""/>
      <w:lvlJc w:val="left"/>
    </w:lvl>
  </w:abstractNum>
  <w:abstractNum w:abstractNumId="2" w15:restartNumberingAfterBreak="0">
    <w:nsid w:val="000026E9"/>
    <w:multiLevelType w:val="hybridMultilevel"/>
    <w:tmpl w:val="D374A51C"/>
    <w:lvl w:ilvl="0" w:tplc="C89A3D44">
      <w:start w:val="1"/>
      <w:numFmt w:val="decimal"/>
      <w:lvlText w:val="%1"/>
      <w:lvlJc w:val="left"/>
    </w:lvl>
    <w:lvl w:ilvl="1" w:tplc="C860A72E">
      <w:start w:val="61"/>
      <w:numFmt w:val="upperLetter"/>
      <w:lvlText w:val="%2."/>
      <w:lvlJc w:val="left"/>
    </w:lvl>
    <w:lvl w:ilvl="2" w:tplc="2FCE454C">
      <w:numFmt w:val="decimal"/>
      <w:lvlText w:val=""/>
      <w:lvlJc w:val="left"/>
    </w:lvl>
    <w:lvl w:ilvl="3" w:tplc="00EE1AB4">
      <w:numFmt w:val="decimal"/>
      <w:lvlText w:val=""/>
      <w:lvlJc w:val="left"/>
    </w:lvl>
    <w:lvl w:ilvl="4" w:tplc="D8C48AE8">
      <w:numFmt w:val="decimal"/>
      <w:lvlText w:val=""/>
      <w:lvlJc w:val="left"/>
    </w:lvl>
    <w:lvl w:ilvl="5" w:tplc="4F6EA462">
      <w:numFmt w:val="decimal"/>
      <w:lvlText w:val=""/>
      <w:lvlJc w:val="left"/>
    </w:lvl>
    <w:lvl w:ilvl="6" w:tplc="C9185AD2">
      <w:numFmt w:val="decimal"/>
      <w:lvlText w:val=""/>
      <w:lvlJc w:val="left"/>
    </w:lvl>
    <w:lvl w:ilvl="7" w:tplc="C12AF3A4">
      <w:numFmt w:val="decimal"/>
      <w:lvlText w:val=""/>
      <w:lvlJc w:val="left"/>
    </w:lvl>
    <w:lvl w:ilvl="8" w:tplc="9A06690E">
      <w:numFmt w:val="decimal"/>
      <w:lvlText w:val=""/>
      <w:lvlJc w:val="left"/>
    </w:lvl>
  </w:abstractNum>
  <w:abstractNum w:abstractNumId="3" w15:restartNumberingAfterBreak="0">
    <w:nsid w:val="00002EA6"/>
    <w:multiLevelType w:val="hybridMultilevel"/>
    <w:tmpl w:val="98EC3B70"/>
    <w:lvl w:ilvl="0" w:tplc="ABA4526A">
      <w:start w:val="102"/>
      <w:numFmt w:val="upperLetter"/>
      <w:lvlText w:val="%1"/>
      <w:lvlJc w:val="left"/>
    </w:lvl>
    <w:lvl w:ilvl="1" w:tplc="3B2A29E8">
      <w:start w:val="1"/>
      <w:numFmt w:val="upperLetter"/>
      <w:lvlText w:val="%2"/>
      <w:lvlJc w:val="left"/>
    </w:lvl>
    <w:lvl w:ilvl="2" w:tplc="0888A64C">
      <w:start w:val="22"/>
      <w:numFmt w:val="upperLetter"/>
      <w:lvlText w:val="%3."/>
      <w:lvlJc w:val="left"/>
    </w:lvl>
    <w:lvl w:ilvl="3" w:tplc="381A98F4">
      <w:numFmt w:val="decimal"/>
      <w:lvlText w:val=""/>
      <w:lvlJc w:val="left"/>
    </w:lvl>
    <w:lvl w:ilvl="4" w:tplc="5750F8B8">
      <w:numFmt w:val="decimal"/>
      <w:lvlText w:val=""/>
      <w:lvlJc w:val="left"/>
    </w:lvl>
    <w:lvl w:ilvl="5" w:tplc="612EA31E">
      <w:numFmt w:val="decimal"/>
      <w:lvlText w:val=""/>
      <w:lvlJc w:val="left"/>
    </w:lvl>
    <w:lvl w:ilvl="6" w:tplc="29E23A8E">
      <w:numFmt w:val="decimal"/>
      <w:lvlText w:val=""/>
      <w:lvlJc w:val="left"/>
    </w:lvl>
    <w:lvl w:ilvl="7" w:tplc="C23A9CA2">
      <w:numFmt w:val="decimal"/>
      <w:lvlText w:val=""/>
      <w:lvlJc w:val="left"/>
    </w:lvl>
    <w:lvl w:ilvl="8" w:tplc="5D9EEFD4">
      <w:numFmt w:val="decimal"/>
      <w:lvlText w:val=""/>
      <w:lvlJc w:val="left"/>
    </w:lvl>
  </w:abstractNum>
  <w:abstractNum w:abstractNumId="4" w15:restartNumberingAfterBreak="0">
    <w:nsid w:val="000041BB"/>
    <w:multiLevelType w:val="hybridMultilevel"/>
    <w:tmpl w:val="345AE600"/>
    <w:lvl w:ilvl="0" w:tplc="37C84FBC">
      <w:start w:val="35"/>
      <w:numFmt w:val="upperLetter"/>
      <w:lvlText w:val="%1."/>
      <w:lvlJc w:val="left"/>
    </w:lvl>
    <w:lvl w:ilvl="1" w:tplc="4ACE24D4">
      <w:numFmt w:val="decimal"/>
      <w:lvlText w:val=""/>
      <w:lvlJc w:val="left"/>
    </w:lvl>
    <w:lvl w:ilvl="2" w:tplc="396C73AE">
      <w:numFmt w:val="decimal"/>
      <w:lvlText w:val=""/>
      <w:lvlJc w:val="left"/>
    </w:lvl>
    <w:lvl w:ilvl="3" w:tplc="5A365D28">
      <w:numFmt w:val="decimal"/>
      <w:lvlText w:val=""/>
      <w:lvlJc w:val="left"/>
    </w:lvl>
    <w:lvl w:ilvl="4" w:tplc="330A8A04">
      <w:numFmt w:val="decimal"/>
      <w:lvlText w:val=""/>
      <w:lvlJc w:val="left"/>
    </w:lvl>
    <w:lvl w:ilvl="5" w:tplc="4596E256">
      <w:numFmt w:val="decimal"/>
      <w:lvlText w:val=""/>
      <w:lvlJc w:val="left"/>
    </w:lvl>
    <w:lvl w:ilvl="6" w:tplc="7BE22996">
      <w:numFmt w:val="decimal"/>
      <w:lvlText w:val=""/>
      <w:lvlJc w:val="left"/>
    </w:lvl>
    <w:lvl w:ilvl="7" w:tplc="E794A33E">
      <w:numFmt w:val="decimal"/>
      <w:lvlText w:val=""/>
      <w:lvlJc w:val="left"/>
    </w:lvl>
    <w:lvl w:ilvl="8" w:tplc="1720A6C8">
      <w:numFmt w:val="decimal"/>
      <w:lvlText w:val=""/>
      <w:lvlJc w:val="left"/>
    </w:lvl>
  </w:abstractNum>
  <w:abstractNum w:abstractNumId="5" w15:restartNumberingAfterBreak="0">
    <w:nsid w:val="00005AF1"/>
    <w:multiLevelType w:val="hybridMultilevel"/>
    <w:tmpl w:val="C8A02CA0"/>
    <w:lvl w:ilvl="0" w:tplc="52A60C38">
      <w:start w:val="9"/>
      <w:numFmt w:val="upperLetter"/>
      <w:lvlText w:val="%1."/>
      <w:lvlJc w:val="left"/>
    </w:lvl>
    <w:lvl w:ilvl="1" w:tplc="2132EC48">
      <w:numFmt w:val="decimal"/>
      <w:lvlText w:val=""/>
      <w:lvlJc w:val="left"/>
    </w:lvl>
    <w:lvl w:ilvl="2" w:tplc="4392A006">
      <w:numFmt w:val="decimal"/>
      <w:lvlText w:val=""/>
      <w:lvlJc w:val="left"/>
    </w:lvl>
    <w:lvl w:ilvl="3" w:tplc="92B82E1A">
      <w:numFmt w:val="decimal"/>
      <w:lvlText w:val=""/>
      <w:lvlJc w:val="left"/>
    </w:lvl>
    <w:lvl w:ilvl="4" w:tplc="0D024468">
      <w:numFmt w:val="decimal"/>
      <w:lvlText w:val=""/>
      <w:lvlJc w:val="left"/>
    </w:lvl>
    <w:lvl w:ilvl="5" w:tplc="DF58F4E0">
      <w:numFmt w:val="decimal"/>
      <w:lvlText w:val=""/>
      <w:lvlJc w:val="left"/>
    </w:lvl>
    <w:lvl w:ilvl="6" w:tplc="EA846540">
      <w:numFmt w:val="decimal"/>
      <w:lvlText w:val=""/>
      <w:lvlJc w:val="left"/>
    </w:lvl>
    <w:lvl w:ilvl="7" w:tplc="B246A0DE">
      <w:numFmt w:val="decimal"/>
      <w:lvlText w:val=""/>
      <w:lvlJc w:val="left"/>
    </w:lvl>
    <w:lvl w:ilvl="8" w:tplc="DE805FC2">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966"/>
    <w:rsid w:val="002522C4"/>
    <w:rsid w:val="00503647"/>
    <w:rsid w:val="005C359C"/>
    <w:rsid w:val="00767B59"/>
    <w:rsid w:val="00850C15"/>
    <w:rsid w:val="00A77D6E"/>
    <w:rsid w:val="00AC1966"/>
    <w:rsid w:val="00B32A39"/>
    <w:rsid w:val="00CE1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F19DF5-64C2-4B0F-96ED-2AB900E20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Malic, Lidija</cp:lastModifiedBy>
  <cp:revision>9</cp:revision>
  <dcterms:created xsi:type="dcterms:W3CDTF">2020-02-07T19:25:00Z</dcterms:created>
  <dcterms:modified xsi:type="dcterms:W3CDTF">2020-02-07T21:22:00Z</dcterms:modified>
</cp:coreProperties>
</file>