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C75" w:rsidRPr="00CD568A" w:rsidRDefault="00713442" w:rsidP="00324C75">
      <w:pPr>
        <w:spacing w:before="120"/>
        <w:ind w:left="720"/>
        <w:rPr>
          <w:rFonts w:cstheme="minorHAnsi"/>
          <w:b/>
          <w:sz w:val="24"/>
          <w:u w:val="single"/>
        </w:rPr>
      </w:pPr>
      <w:r>
        <w:rPr>
          <w:rFonts w:eastAsia="Times New Roman"/>
          <w:b/>
          <w:bCs/>
        </w:rPr>
        <w:t xml:space="preserve">Title: </w:t>
      </w:r>
      <w:r w:rsidR="00526E65" w:rsidRPr="00526E65">
        <w:rPr>
          <w:rFonts w:cstheme="minorHAnsi"/>
          <w:b/>
        </w:rPr>
        <w:t>Point-of-care assay for C-reactive protein using cavity enhanced absorption detection</w:t>
      </w:r>
    </w:p>
    <w:p w:rsidR="00F5192A" w:rsidRDefault="00F5192A" w:rsidP="00324C75">
      <w:pPr>
        <w:spacing w:line="230" w:lineRule="auto"/>
        <w:ind w:right="480"/>
        <w:jc w:val="both"/>
        <w:rPr>
          <w:sz w:val="20"/>
          <w:szCs w:val="20"/>
        </w:rPr>
      </w:pPr>
    </w:p>
    <w:p w:rsidR="00F5192A" w:rsidRDefault="00F5192A">
      <w:pPr>
        <w:spacing w:line="204" w:lineRule="exact"/>
        <w:rPr>
          <w:sz w:val="24"/>
          <w:szCs w:val="24"/>
        </w:rPr>
      </w:pPr>
    </w:p>
    <w:p w:rsidR="00526E65" w:rsidRDefault="00526E65" w:rsidP="00324C75">
      <w:pPr>
        <w:rPr>
          <w:rFonts w:eastAsia="Times New Roman"/>
          <w:b/>
          <w:bCs/>
          <w:sz w:val="19"/>
          <w:szCs w:val="19"/>
        </w:rPr>
      </w:pPr>
      <w:r w:rsidRPr="00526E65">
        <w:rPr>
          <w:rFonts w:eastAsia="Times New Roman"/>
          <w:b/>
          <w:bCs/>
          <w:sz w:val="19"/>
          <w:szCs w:val="19"/>
        </w:rPr>
        <w:t>Teggert</w:t>
      </w:r>
      <w:r>
        <w:rPr>
          <w:rFonts w:eastAsia="Times New Roman"/>
          <w:b/>
          <w:bCs/>
          <w:sz w:val="19"/>
          <w:szCs w:val="19"/>
        </w:rPr>
        <w:t>, A.</w:t>
      </w:r>
      <w:proofErr w:type="gramStart"/>
      <w:r>
        <w:rPr>
          <w:rFonts w:eastAsia="Times New Roman"/>
          <w:b/>
          <w:bCs/>
          <w:sz w:val="19"/>
          <w:szCs w:val="19"/>
        </w:rPr>
        <w:t>,</w:t>
      </w:r>
      <w:r w:rsidRPr="00526E65">
        <w:rPr>
          <w:rFonts w:eastAsia="Times New Roman"/>
          <w:b/>
          <w:bCs/>
          <w:sz w:val="19"/>
          <w:szCs w:val="19"/>
          <w:vertAlign w:val="superscript"/>
        </w:rPr>
        <w:t>1</w:t>
      </w:r>
      <w:proofErr w:type="gramEnd"/>
      <w:r w:rsidRPr="00526E65">
        <w:rPr>
          <w:rFonts w:eastAsia="Times New Roman"/>
          <w:b/>
          <w:bCs/>
          <w:sz w:val="19"/>
          <w:szCs w:val="19"/>
        </w:rPr>
        <w:t>, Datta</w:t>
      </w:r>
      <w:r>
        <w:rPr>
          <w:rFonts w:eastAsia="Times New Roman"/>
          <w:b/>
          <w:bCs/>
          <w:sz w:val="19"/>
          <w:szCs w:val="19"/>
        </w:rPr>
        <w:t xml:space="preserve">, H., </w:t>
      </w:r>
      <w:r w:rsidRPr="00526E65">
        <w:rPr>
          <w:rFonts w:eastAsia="Times New Roman"/>
          <w:b/>
          <w:bCs/>
          <w:sz w:val="19"/>
          <w:szCs w:val="19"/>
          <w:vertAlign w:val="superscript"/>
        </w:rPr>
        <w:t>1</w:t>
      </w:r>
      <w:r w:rsidRPr="00526E65">
        <w:rPr>
          <w:rFonts w:eastAsia="Times New Roman"/>
          <w:b/>
          <w:bCs/>
          <w:sz w:val="19"/>
          <w:szCs w:val="19"/>
        </w:rPr>
        <w:t xml:space="preserve"> and Ali</w:t>
      </w:r>
      <w:r>
        <w:rPr>
          <w:rFonts w:eastAsia="Times New Roman"/>
          <w:b/>
          <w:bCs/>
          <w:sz w:val="19"/>
          <w:szCs w:val="19"/>
        </w:rPr>
        <w:t>, Z</w:t>
      </w:r>
      <w:r w:rsidRPr="00526E65">
        <w:rPr>
          <w:rFonts w:eastAsia="Times New Roman"/>
          <w:b/>
          <w:bCs/>
          <w:sz w:val="19"/>
          <w:szCs w:val="19"/>
          <w:vertAlign w:val="superscript"/>
        </w:rPr>
        <w:t>2</w:t>
      </w:r>
    </w:p>
    <w:p w:rsidR="00526E65" w:rsidRPr="00144239" w:rsidRDefault="00526E65" w:rsidP="00526E65">
      <w:pPr>
        <w:rPr>
          <w:sz w:val="18"/>
          <w:szCs w:val="18"/>
        </w:rPr>
      </w:pPr>
      <w:r w:rsidRPr="00144239">
        <w:rPr>
          <w:b/>
          <w:sz w:val="18"/>
          <w:szCs w:val="18"/>
          <w:vertAlign w:val="superscript"/>
        </w:rPr>
        <w:t>1</w:t>
      </w:r>
      <w:r w:rsidRPr="00144239">
        <w:rPr>
          <w:sz w:val="18"/>
          <w:szCs w:val="18"/>
        </w:rPr>
        <w:t xml:space="preserve">South Tees NHS Foundation Trust, Middlesbrough, UK;  </w:t>
      </w:r>
    </w:p>
    <w:p w:rsidR="00526E65" w:rsidRPr="00144239" w:rsidRDefault="00526E65" w:rsidP="00526E65">
      <w:pPr>
        <w:rPr>
          <w:sz w:val="18"/>
          <w:szCs w:val="18"/>
        </w:rPr>
      </w:pPr>
      <w:r w:rsidRPr="00144239">
        <w:rPr>
          <w:b/>
          <w:sz w:val="18"/>
          <w:szCs w:val="18"/>
          <w:vertAlign w:val="superscript"/>
        </w:rPr>
        <w:t>2</w:t>
      </w:r>
      <w:r w:rsidRPr="00144239">
        <w:rPr>
          <w:rFonts w:eastAsia="Times New Roman" w:cstheme="minorHAnsi"/>
          <w:sz w:val="18"/>
          <w:szCs w:val="18"/>
        </w:rPr>
        <w:t>Healthcare Innovation Centre, Teesside University, Middlesbrough, UK</w:t>
      </w:r>
    </w:p>
    <w:p w:rsidR="00F5192A" w:rsidRPr="00324C75" w:rsidRDefault="00F5192A" w:rsidP="00324C75">
      <w:pPr>
        <w:spacing w:line="181" w:lineRule="auto"/>
        <w:jc w:val="both"/>
        <w:rPr>
          <w:sz w:val="20"/>
          <w:szCs w:val="20"/>
        </w:rPr>
        <w:sectPr w:rsidR="00F5192A" w:rsidRPr="00324C75">
          <w:pgSz w:w="11900" w:h="16834"/>
          <w:pgMar w:top="1070" w:right="719" w:bottom="0" w:left="740" w:header="0" w:footer="0" w:gutter="0"/>
          <w:cols w:space="720" w:equalWidth="0">
            <w:col w:w="10440"/>
          </w:cols>
        </w:sect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351" w:lineRule="exact"/>
        <w:rPr>
          <w:sz w:val="24"/>
          <w:szCs w:val="24"/>
        </w:rPr>
      </w:pPr>
    </w:p>
    <w:p w:rsidR="00F5192A" w:rsidRDefault="00713442">
      <w:pPr>
        <w:spacing w:line="234" w:lineRule="auto"/>
        <w:ind w:right="68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 xml:space="preserve">Keywords: </w:t>
      </w:r>
      <w:r w:rsidR="00144239">
        <w:rPr>
          <w:rFonts w:eastAsia="Times New Roman"/>
          <w:b/>
          <w:bCs/>
          <w:sz w:val="19"/>
          <w:szCs w:val="19"/>
        </w:rPr>
        <w:t>Cavity Enhanced Absorption, Point-of-care diagnostic, CRP, ELISA</w:t>
      </w:r>
      <w:bookmarkStart w:id="0" w:name="_GoBack"/>
      <w:bookmarkEnd w:id="0"/>
      <w:r w:rsidR="00324C75">
        <w:rPr>
          <w:rFonts w:eastAsia="Times New Roman"/>
          <w:b/>
          <w:bCs/>
          <w:sz w:val="19"/>
          <w:szCs w:val="19"/>
        </w:rPr>
        <w:t xml:space="preserve"> </w:t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59" w:lineRule="exact"/>
        <w:rPr>
          <w:sz w:val="24"/>
          <w:szCs w:val="24"/>
        </w:rPr>
      </w:pPr>
    </w:p>
    <w:p w:rsidR="00F5192A" w:rsidRDefault="00A10378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Abstract Body</w:t>
      </w:r>
    </w:p>
    <w:p w:rsidR="00F5192A" w:rsidRDefault="00F5192A">
      <w:pPr>
        <w:spacing w:line="130" w:lineRule="exact"/>
        <w:rPr>
          <w:sz w:val="24"/>
          <w:szCs w:val="24"/>
        </w:rPr>
      </w:pPr>
    </w:p>
    <w:p w:rsidR="00B47B88" w:rsidRDefault="00B47B88">
      <w:pPr>
        <w:spacing w:line="238" w:lineRule="auto"/>
        <w:jc w:val="both"/>
        <w:rPr>
          <w:rFonts w:eastAsia="Times New Roman"/>
          <w:sz w:val="19"/>
          <w:szCs w:val="19"/>
        </w:rPr>
      </w:pPr>
      <w:r w:rsidRPr="00B47B88">
        <w:rPr>
          <w:rFonts w:eastAsia="Times New Roman"/>
          <w:sz w:val="19"/>
          <w:szCs w:val="19"/>
        </w:rPr>
        <w:t>We have previously demonstrated highly sensitive Cavity Enhanced Absorption (CEA) detection for low volume liquid assay [1</w:t>
      </w:r>
      <w:r w:rsidR="00AB2741">
        <w:rPr>
          <w:rFonts w:eastAsia="Times New Roman"/>
          <w:sz w:val="19"/>
          <w:szCs w:val="19"/>
        </w:rPr>
        <w:t>-</w:t>
      </w:r>
      <w:r w:rsidR="00144239">
        <w:rPr>
          <w:rFonts w:eastAsia="Times New Roman"/>
          <w:sz w:val="19"/>
          <w:szCs w:val="19"/>
        </w:rPr>
        <w:t>4</w:t>
      </w:r>
      <w:r w:rsidRPr="00B47B88">
        <w:rPr>
          <w:rFonts w:eastAsia="Times New Roman"/>
          <w:sz w:val="19"/>
          <w:szCs w:val="19"/>
        </w:rPr>
        <w:t xml:space="preserve">]. In CEA, the high sensitivity recorded in the spectrometer </w:t>
      </w:r>
      <w:proofErr w:type="gramStart"/>
      <w:r w:rsidRPr="00B47B88">
        <w:rPr>
          <w:rFonts w:eastAsia="Times New Roman"/>
          <w:sz w:val="19"/>
          <w:szCs w:val="19"/>
        </w:rPr>
        <w:t>is achieved</w:t>
      </w:r>
      <w:proofErr w:type="gramEnd"/>
      <w:r w:rsidRPr="00B47B88">
        <w:rPr>
          <w:rFonts w:eastAsia="Times New Roman"/>
          <w:sz w:val="19"/>
          <w:szCs w:val="19"/>
        </w:rPr>
        <w:t xml:space="preserve"> through increasing the </w:t>
      </w:r>
      <w:proofErr w:type="spellStart"/>
      <w:r w:rsidRPr="00B47B88">
        <w:rPr>
          <w:rFonts w:eastAsia="Times New Roman"/>
          <w:sz w:val="19"/>
          <w:szCs w:val="19"/>
        </w:rPr>
        <w:t>pathlength</w:t>
      </w:r>
      <w:proofErr w:type="spellEnd"/>
      <w:r w:rsidRPr="00B47B88">
        <w:rPr>
          <w:rFonts w:eastAsia="Times New Roman"/>
          <w:sz w:val="19"/>
          <w:szCs w:val="19"/>
        </w:rPr>
        <w:t xml:space="preserve"> by locating the sample between two highly reflective dielectric mirrors. The light reflects between the two mirrors to form an optical </w:t>
      </w:r>
      <w:proofErr w:type="gramStart"/>
      <w:r w:rsidRPr="00B47B88">
        <w:rPr>
          <w:rFonts w:eastAsia="Times New Roman"/>
          <w:sz w:val="19"/>
          <w:szCs w:val="19"/>
        </w:rPr>
        <w:t>cavity which</w:t>
      </w:r>
      <w:proofErr w:type="gramEnd"/>
      <w:r w:rsidRPr="00B47B88">
        <w:rPr>
          <w:rFonts w:eastAsia="Times New Roman"/>
          <w:sz w:val="19"/>
          <w:szCs w:val="19"/>
        </w:rPr>
        <w:t xml:space="preserve"> magnifies the optical absorption effect. The CEA reader </w:t>
      </w:r>
      <w:r>
        <w:rPr>
          <w:rFonts w:eastAsia="Times New Roman"/>
          <w:sz w:val="19"/>
          <w:szCs w:val="19"/>
        </w:rPr>
        <w:t xml:space="preserve">offers to potential of sensitivity </w:t>
      </w:r>
      <w:r w:rsidRPr="00B47B88">
        <w:rPr>
          <w:rFonts w:eastAsia="Times New Roman"/>
          <w:sz w:val="19"/>
          <w:szCs w:val="19"/>
        </w:rPr>
        <w:t>approach</w:t>
      </w:r>
      <w:r>
        <w:rPr>
          <w:rFonts w:eastAsia="Times New Roman"/>
          <w:sz w:val="19"/>
          <w:szCs w:val="19"/>
        </w:rPr>
        <w:t xml:space="preserve">ing that of </w:t>
      </w:r>
      <w:r w:rsidRPr="00B47B88">
        <w:rPr>
          <w:rFonts w:eastAsia="Times New Roman"/>
          <w:sz w:val="19"/>
          <w:szCs w:val="19"/>
        </w:rPr>
        <w:t xml:space="preserve">fluorescence </w:t>
      </w:r>
      <w:r>
        <w:rPr>
          <w:rFonts w:eastAsia="Times New Roman"/>
          <w:sz w:val="19"/>
          <w:szCs w:val="19"/>
        </w:rPr>
        <w:t>b</w:t>
      </w:r>
      <w:r w:rsidRPr="00B47B88">
        <w:rPr>
          <w:rFonts w:eastAsia="Times New Roman"/>
          <w:sz w:val="19"/>
          <w:szCs w:val="19"/>
        </w:rPr>
        <w:t>ut with lower reader cost - due to fewer optical elements – and the potential for being label-free.</w:t>
      </w:r>
    </w:p>
    <w:p w:rsidR="00AB2741" w:rsidRDefault="00AB2741">
      <w:pPr>
        <w:spacing w:line="238" w:lineRule="auto"/>
        <w:jc w:val="both"/>
        <w:rPr>
          <w:rFonts w:eastAsia="Times New Roman"/>
          <w:sz w:val="19"/>
          <w:szCs w:val="19"/>
        </w:rPr>
      </w:pPr>
    </w:p>
    <w:p w:rsidR="00B439B4" w:rsidRDefault="008040C3">
      <w:pPr>
        <w:spacing w:line="238" w:lineRule="auto"/>
        <w:jc w:val="both"/>
        <w:rPr>
          <w:rFonts w:eastAsia="Times New Roman"/>
          <w:sz w:val="19"/>
          <w:szCs w:val="19"/>
        </w:rPr>
      </w:pPr>
      <w:r w:rsidRPr="008040C3">
        <w:rPr>
          <w:rFonts w:eastAsia="Times New Roman"/>
          <w:sz w:val="19"/>
          <w:szCs w:val="19"/>
        </w:rPr>
        <w:t>We have developed a point-of-care reader with C</w:t>
      </w:r>
      <w:r>
        <w:rPr>
          <w:rFonts w:eastAsia="Times New Roman"/>
          <w:sz w:val="19"/>
          <w:szCs w:val="19"/>
        </w:rPr>
        <w:t xml:space="preserve">avity </w:t>
      </w:r>
      <w:r w:rsidRPr="008040C3">
        <w:rPr>
          <w:rFonts w:eastAsia="Times New Roman"/>
          <w:sz w:val="19"/>
          <w:szCs w:val="19"/>
        </w:rPr>
        <w:t>E</w:t>
      </w:r>
      <w:r>
        <w:rPr>
          <w:rFonts w:eastAsia="Times New Roman"/>
          <w:sz w:val="19"/>
          <w:szCs w:val="19"/>
        </w:rPr>
        <w:t xml:space="preserve">nhanced </w:t>
      </w:r>
      <w:r w:rsidRPr="008040C3">
        <w:rPr>
          <w:rFonts w:eastAsia="Times New Roman"/>
          <w:sz w:val="19"/>
          <w:szCs w:val="19"/>
        </w:rPr>
        <w:t>A</w:t>
      </w:r>
      <w:r>
        <w:rPr>
          <w:rFonts w:eastAsia="Times New Roman"/>
          <w:sz w:val="19"/>
          <w:szCs w:val="19"/>
        </w:rPr>
        <w:t xml:space="preserve">bsorption (CEA) </w:t>
      </w:r>
      <w:r w:rsidRPr="008040C3">
        <w:rPr>
          <w:rFonts w:eastAsia="Times New Roman"/>
          <w:sz w:val="19"/>
          <w:szCs w:val="19"/>
        </w:rPr>
        <w:t>detection and a well type fluidic cartridge for implementation of immunoassay. W</w:t>
      </w:r>
      <w:r w:rsidR="00B47B88">
        <w:rPr>
          <w:rFonts w:eastAsia="Times New Roman"/>
          <w:sz w:val="19"/>
          <w:szCs w:val="19"/>
        </w:rPr>
        <w:t xml:space="preserve">e </w:t>
      </w:r>
      <w:r w:rsidR="00AB2741">
        <w:rPr>
          <w:rFonts w:eastAsia="Times New Roman"/>
          <w:sz w:val="19"/>
          <w:szCs w:val="19"/>
        </w:rPr>
        <w:t>d</w:t>
      </w:r>
      <w:r>
        <w:rPr>
          <w:rFonts w:eastAsia="Times New Roman"/>
          <w:sz w:val="19"/>
          <w:szCs w:val="19"/>
        </w:rPr>
        <w:t>escribe proof of concept CEA</w:t>
      </w:r>
      <w:r w:rsidRPr="008040C3">
        <w:rPr>
          <w:rFonts w:eastAsia="Times New Roman"/>
          <w:sz w:val="19"/>
          <w:szCs w:val="19"/>
        </w:rPr>
        <w:t xml:space="preserve"> point-of-care assay for </w:t>
      </w:r>
      <w:proofErr w:type="gramStart"/>
      <w:r w:rsidRPr="008040C3">
        <w:rPr>
          <w:rFonts w:eastAsia="Times New Roman"/>
          <w:sz w:val="19"/>
          <w:szCs w:val="19"/>
        </w:rPr>
        <w:t>C-reactive Protein</w:t>
      </w:r>
      <w:proofErr w:type="gramEnd"/>
      <w:r w:rsidRPr="008040C3">
        <w:rPr>
          <w:rFonts w:eastAsia="Times New Roman"/>
          <w:sz w:val="19"/>
          <w:szCs w:val="19"/>
        </w:rPr>
        <w:t xml:space="preserve"> (CRP) based on enzyme linked immunosorbent assay (ELISA).  Sample cartridges </w:t>
      </w:r>
      <w:proofErr w:type="gramStart"/>
      <w:r w:rsidRPr="008040C3">
        <w:rPr>
          <w:rFonts w:eastAsia="Times New Roman"/>
          <w:sz w:val="19"/>
          <w:szCs w:val="19"/>
        </w:rPr>
        <w:t>are assembled</w:t>
      </w:r>
      <w:proofErr w:type="gramEnd"/>
      <w:r w:rsidRPr="008040C3">
        <w:rPr>
          <w:rFonts w:eastAsia="Times New Roman"/>
          <w:sz w:val="19"/>
          <w:szCs w:val="19"/>
        </w:rPr>
        <w:t xml:space="preserve"> containing a </w:t>
      </w:r>
      <w:proofErr w:type="spellStart"/>
      <w:r w:rsidRPr="008040C3">
        <w:rPr>
          <w:rFonts w:eastAsia="Times New Roman"/>
          <w:sz w:val="19"/>
          <w:szCs w:val="19"/>
        </w:rPr>
        <w:t>polylysine</w:t>
      </w:r>
      <w:proofErr w:type="spellEnd"/>
      <w:r w:rsidRPr="008040C3">
        <w:rPr>
          <w:rFonts w:eastAsia="Times New Roman"/>
          <w:sz w:val="19"/>
          <w:szCs w:val="19"/>
        </w:rPr>
        <w:t xml:space="preserve"> coated glass side, onto which CRP capture antibodies were immobilised.  Sample </w:t>
      </w:r>
      <w:proofErr w:type="gramStart"/>
      <w:r w:rsidRPr="008040C3">
        <w:rPr>
          <w:rFonts w:eastAsia="Times New Roman"/>
          <w:sz w:val="19"/>
          <w:szCs w:val="19"/>
        </w:rPr>
        <w:t>is then</w:t>
      </w:r>
      <w:r w:rsidR="00AB2741">
        <w:rPr>
          <w:rFonts w:eastAsia="Times New Roman"/>
          <w:sz w:val="19"/>
          <w:szCs w:val="19"/>
        </w:rPr>
        <w:t xml:space="preserve"> </w:t>
      </w:r>
      <w:r w:rsidRPr="008040C3">
        <w:rPr>
          <w:rFonts w:eastAsia="Times New Roman"/>
          <w:sz w:val="19"/>
          <w:szCs w:val="19"/>
        </w:rPr>
        <w:t>added</w:t>
      </w:r>
      <w:proofErr w:type="gramEnd"/>
      <w:r w:rsidRPr="008040C3">
        <w:rPr>
          <w:rFonts w:eastAsia="Times New Roman"/>
          <w:sz w:val="19"/>
          <w:szCs w:val="19"/>
        </w:rPr>
        <w:t xml:space="preserve"> to the sample wells, incubated and washed.  A biotinylated CRP detection antibody solution of 90ng/mL is added, incubated and washed, followed by addition of streptavidin-horseradish </w:t>
      </w:r>
      <w:proofErr w:type="gramStart"/>
      <w:r w:rsidRPr="008040C3">
        <w:rPr>
          <w:rFonts w:eastAsia="Times New Roman"/>
          <w:sz w:val="19"/>
          <w:szCs w:val="19"/>
        </w:rPr>
        <w:t>peroxidase which</w:t>
      </w:r>
      <w:proofErr w:type="gramEnd"/>
      <w:r w:rsidRPr="008040C3">
        <w:rPr>
          <w:rFonts w:eastAsia="Times New Roman"/>
          <w:sz w:val="19"/>
          <w:szCs w:val="19"/>
        </w:rPr>
        <w:t xml:space="preserve"> is again incubated and washed.  The final step is the addition of TMB substrate followed by sulphuric </w:t>
      </w:r>
      <w:proofErr w:type="gramStart"/>
      <w:r w:rsidRPr="008040C3">
        <w:rPr>
          <w:rFonts w:eastAsia="Times New Roman"/>
          <w:sz w:val="19"/>
          <w:szCs w:val="19"/>
        </w:rPr>
        <w:t>acid which</w:t>
      </w:r>
      <w:proofErr w:type="gramEnd"/>
      <w:r w:rsidRPr="008040C3">
        <w:rPr>
          <w:rFonts w:eastAsia="Times New Roman"/>
          <w:sz w:val="19"/>
          <w:szCs w:val="19"/>
        </w:rPr>
        <w:t xml:space="preserve"> quenches the reaction.  The </w:t>
      </w:r>
      <w:proofErr w:type="gramStart"/>
      <w:r w:rsidRPr="008040C3">
        <w:rPr>
          <w:rFonts w:eastAsia="Times New Roman"/>
          <w:sz w:val="19"/>
          <w:szCs w:val="19"/>
        </w:rPr>
        <w:t>intensity of the colour product formed in the reaction is measured by the CEA reader at 450nm and 540nm</w:t>
      </w:r>
      <w:proofErr w:type="gramEnd"/>
      <w:r w:rsidRPr="008040C3">
        <w:rPr>
          <w:rFonts w:eastAsia="Times New Roman"/>
          <w:sz w:val="19"/>
          <w:szCs w:val="19"/>
        </w:rPr>
        <w:t xml:space="preserve">.   </w:t>
      </w:r>
    </w:p>
    <w:p w:rsidR="00F5192A" w:rsidRDefault="00F5192A">
      <w:pPr>
        <w:spacing w:line="249" w:lineRule="exact"/>
        <w:rPr>
          <w:sz w:val="24"/>
          <w:szCs w:val="24"/>
        </w:rPr>
      </w:pPr>
    </w:p>
    <w:p w:rsidR="00F5192A" w:rsidRDefault="00144239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CEA reader and well-plate cartridge</w:t>
      </w:r>
    </w:p>
    <w:p w:rsidR="00F5192A" w:rsidRDefault="00706FCC">
      <w:pPr>
        <w:spacing w:line="20" w:lineRule="exact"/>
        <w:rPr>
          <w:sz w:val="24"/>
          <w:szCs w:val="24"/>
        </w:rPr>
      </w:pPr>
      <w:r w:rsidRPr="00706FCC">
        <w:rPr>
          <w:noProof/>
          <w:sz w:val="24"/>
          <w:szCs w:val="24"/>
        </w:rPr>
        <w:drawing>
          <wp:inline distT="0" distB="0" distL="0" distR="0" wp14:anchorId="60E62FB0" wp14:editId="1711DADB">
            <wp:extent cx="3086100" cy="2030095"/>
            <wp:effectExtent l="0" t="0" r="0" b="825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FCC">
        <w:rPr>
          <w:noProof/>
          <w:sz w:val="24"/>
          <w:szCs w:val="24"/>
        </w:rPr>
        <w:t xml:space="preserve"> </w:t>
      </w:r>
    </w:p>
    <w:p w:rsidR="00F5192A" w:rsidRDefault="00AB274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285115</wp:posOffset>
            </wp:positionH>
            <wp:positionV relativeFrom="paragraph">
              <wp:posOffset>72390</wp:posOffset>
            </wp:positionV>
            <wp:extent cx="2512060" cy="1982470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198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442">
        <w:rPr>
          <w:sz w:val="24"/>
          <w:szCs w:val="24"/>
        </w:rPr>
        <w:br w:type="column"/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309" w:lineRule="exact"/>
        <w:rPr>
          <w:sz w:val="24"/>
          <w:szCs w:val="24"/>
        </w:rPr>
      </w:pPr>
    </w:p>
    <w:p w:rsidR="00F5192A" w:rsidRDefault="00713442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:rsidR="00F5192A" w:rsidRDefault="00F5192A">
      <w:pPr>
        <w:spacing w:line="235" w:lineRule="exact"/>
        <w:rPr>
          <w:rFonts w:eastAsia="Times New Roman"/>
          <w:b/>
          <w:bCs/>
          <w:sz w:val="19"/>
          <w:szCs w:val="19"/>
        </w:rPr>
      </w:pPr>
    </w:p>
    <w:p w:rsidR="00F74D5B" w:rsidRPr="00F74D5B" w:rsidRDefault="00F74D5B" w:rsidP="00F74D5B">
      <w:pPr>
        <w:spacing w:line="230" w:lineRule="exact"/>
        <w:rPr>
          <w:rFonts w:eastAsia="Times New Roman"/>
          <w:sz w:val="18"/>
          <w:szCs w:val="18"/>
        </w:rPr>
      </w:pPr>
      <w:r w:rsidRPr="00F74D5B">
        <w:rPr>
          <w:rFonts w:eastAsia="Times New Roman"/>
          <w:sz w:val="18"/>
          <w:szCs w:val="18"/>
        </w:rPr>
        <w:t xml:space="preserve">[1] Z. Bajuszova, Z. Ali, S. Scott, L.N. Seetohul and M. Islam, Novel </w:t>
      </w:r>
      <w:proofErr w:type="spellStart"/>
      <w:r w:rsidRPr="00F74D5B">
        <w:rPr>
          <w:rFonts w:eastAsia="Times New Roman"/>
          <w:sz w:val="18"/>
          <w:szCs w:val="18"/>
        </w:rPr>
        <w:t>microtitre</w:t>
      </w:r>
      <w:proofErr w:type="spellEnd"/>
      <w:r w:rsidRPr="00F74D5B">
        <w:rPr>
          <w:rFonts w:eastAsia="Times New Roman"/>
          <w:sz w:val="18"/>
          <w:szCs w:val="18"/>
        </w:rPr>
        <w:t xml:space="preserve"> plate </w:t>
      </w:r>
      <w:proofErr w:type="spellStart"/>
      <w:r w:rsidRPr="00F74D5B">
        <w:rPr>
          <w:rFonts w:eastAsia="Times New Roman"/>
          <w:sz w:val="18"/>
          <w:szCs w:val="18"/>
        </w:rPr>
        <w:t>osteocalcin</w:t>
      </w:r>
      <w:proofErr w:type="spellEnd"/>
      <w:r w:rsidRPr="00F74D5B">
        <w:rPr>
          <w:rFonts w:eastAsia="Times New Roman"/>
          <w:sz w:val="18"/>
          <w:szCs w:val="18"/>
        </w:rPr>
        <w:t xml:space="preserve"> assay with vertical CEAS detection, Analytical Chemistry, 2016, 88(10), 5264-5270</w:t>
      </w:r>
    </w:p>
    <w:p w:rsidR="00F74D5B" w:rsidRPr="00F74D5B" w:rsidRDefault="00F74D5B" w:rsidP="00F74D5B">
      <w:pPr>
        <w:spacing w:line="230" w:lineRule="exact"/>
        <w:rPr>
          <w:rFonts w:eastAsia="Times New Roman"/>
          <w:sz w:val="18"/>
          <w:szCs w:val="18"/>
        </w:rPr>
      </w:pPr>
      <w:r w:rsidRPr="00F74D5B">
        <w:rPr>
          <w:rFonts w:eastAsia="Times New Roman"/>
          <w:sz w:val="18"/>
          <w:szCs w:val="18"/>
        </w:rPr>
        <w:t xml:space="preserve">[2] Z. Bajuszova, H. </w:t>
      </w:r>
      <w:proofErr w:type="spellStart"/>
      <w:r w:rsidRPr="00F74D5B">
        <w:rPr>
          <w:rFonts w:eastAsia="Times New Roman"/>
          <w:sz w:val="18"/>
          <w:szCs w:val="18"/>
        </w:rPr>
        <w:t>Naif</w:t>
      </w:r>
      <w:proofErr w:type="spellEnd"/>
      <w:r w:rsidRPr="00F74D5B">
        <w:rPr>
          <w:rFonts w:eastAsia="Times New Roman"/>
          <w:sz w:val="18"/>
          <w:szCs w:val="18"/>
        </w:rPr>
        <w:t>, Z. Ali, j. McGinnis and M. Islam, Cavity enhanced liquid-phase stopped-flow kinetics, Analyst, 2018, 143(2), 493-502</w:t>
      </w:r>
    </w:p>
    <w:p w:rsidR="00F74D5B" w:rsidRPr="00F74D5B" w:rsidRDefault="00F74D5B" w:rsidP="00F74D5B">
      <w:pPr>
        <w:spacing w:line="230" w:lineRule="exact"/>
        <w:rPr>
          <w:rFonts w:eastAsia="Times New Roman"/>
          <w:sz w:val="18"/>
          <w:szCs w:val="18"/>
        </w:rPr>
      </w:pPr>
      <w:r w:rsidRPr="00F74D5B">
        <w:rPr>
          <w:rFonts w:eastAsia="Times New Roman"/>
          <w:sz w:val="18"/>
          <w:szCs w:val="18"/>
        </w:rPr>
        <w:t>[3] L.N. Seetohul, M. Islam and Z. Ali, ‘Broadband cavity enhanced absorption spectroscopy as a detector for HPLC’ Analytical Chemistry, 2009, 81 (10), 4106-4112</w:t>
      </w:r>
    </w:p>
    <w:p w:rsidR="00E61531" w:rsidRDefault="00F74D5B" w:rsidP="00F74D5B">
      <w:pPr>
        <w:spacing w:line="230" w:lineRule="exact"/>
        <w:rPr>
          <w:rFonts w:eastAsia="Times New Roman"/>
          <w:sz w:val="18"/>
          <w:szCs w:val="18"/>
        </w:rPr>
      </w:pPr>
      <w:r w:rsidRPr="00F74D5B">
        <w:rPr>
          <w:rFonts w:eastAsia="Times New Roman"/>
          <w:sz w:val="18"/>
          <w:szCs w:val="18"/>
        </w:rPr>
        <w:t>[4] M. Islam, L.N. Seetohul and Z. Ali, ‘Liquid-Phase Broadband Cavity-Enhanced Absorption Spectroscopy Measurements in a 2mm Cuvette’, Applied Spectroscopy, 2007, 61(6), 649-658</w:t>
      </w:r>
    </w:p>
    <w:p w:rsidR="00E61531" w:rsidRDefault="00E61531" w:rsidP="00E61531">
      <w:pPr>
        <w:spacing w:line="230" w:lineRule="exact"/>
        <w:rPr>
          <w:rFonts w:eastAsia="Times New Roman"/>
          <w:sz w:val="18"/>
          <w:szCs w:val="18"/>
        </w:rPr>
      </w:pPr>
    </w:p>
    <w:p w:rsidR="00F5192A" w:rsidRDefault="00713442">
      <w:pPr>
        <w:tabs>
          <w:tab w:val="left" w:pos="1403"/>
        </w:tabs>
        <w:ind w:left="983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  <w:t>Biography:</w:t>
      </w:r>
    </w:p>
    <w:p w:rsidR="00F5192A" w:rsidRDefault="00FD6524" w:rsidP="00FD6524">
      <w:pPr>
        <w:tabs>
          <w:tab w:val="left" w:pos="599"/>
        </w:tabs>
        <w:spacing w:line="236" w:lineRule="auto"/>
        <w:jc w:val="both"/>
        <w:rPr>
          <w:rFonts w:eastAsia="Times New Roman"/>
          <w:sz w:val="19"/>
          <w:szCs w:val="19"/>
        </w:rPr>
      </w:pPr>
      <w:r w:rsidRPr="00FD6524">
        <w:rPr>
          <w:rFonts w:eastAsia="Times New Roman"/>
          <w:sz w:val="19"/>
          <w:szCs w:val="19"/>
        </w:rPr>
        <w:t xml:space="preserve">Zulfiqur </w:t>
      </w:r>
      <w:r>
        <w:rPr>
          <w:rFonts w:eastAsia="Times New Roman"/>
          <w:sz w:val="19"/>
          <w:szCs w:val="19"/>
        </w:rPr>
        <w:t>has a BSc</w:t>
      </w:r>
      <w:r w:rsidR="00B33606">
        <w:rPr>
          <w:rFonts w:eastAsia="Times New Roman"/>
          <w:sz w:val="19"/>
          <w:szCs w:val="19"/>
        </w:rPr>
        <w:t xml:space="preserve"> </w:t>
      </w:r>
      <w:r>
        <w:rPr>
          <w:rFonts w:eastAsia="Times New Roman"/>
          <w:sz w:val="19"/>
          <w:szCs w:val="19"/>
        </w:rPr>
        <w:t>(Hons) Chemistry and</w:t>
      </w:r>
      <w:r w:rsidRPr="00FD6524">
        <w:rPr>
          <w:rFonts w:eastAsia="Times New Roman"/>
          <w:sz w:val="19"/>
          <w:szCs w:val="19"/>
        </w:rPr>
        <w:t xml:space="preserve"> PhD in instrumentation and analytical science from the University of Manchester</w:t>
      </w:r>
      <w:r>
        <w:rPr>
          <w:rFonts w:eastAsia="Times New Roman"/>
          <w:sz w:val="19"/>
          <w:szCs w:val="19"/>
        </w:rPr>
        <w:t>. He</w:t>
      </w:r>
      <w:r w:rsidRPr="00FD6524">
        <w:rPr>
          <w:rFonts w:eastAsia="Times New Roman"/>
          <w:sz w:val="19"/>
          <w:szCs w:val="19"/>
        </w:rPr>
        <w:t xml:space="preserve"> in 1989 and has expertise in the development of smart miniaturised measurement systems. Zulfiqur has around 100 referred journals, book chapters and conference publications, with more than 3000 citations</w:t>
      </w:r>
      <w:r>
        <w:rPr>
          <w:rFonts w:eastAsia="Times New Roman"/>
          <w:sz w:val="19"/>
          <w:szCs w:val="19"/>
        </w:rPr>
        <w:t>.</w:t>
      </w:r>
      <w:r w:rsidRPr="00FD6524">
        <w:rPr>
          <w:rFonts w:eastAsia="Times New Roman"/>
          <w:sz w:val="19"/>
          <w:szCs w:val="19"/>
        </w:rPr>
        <w:t xml:space="preserve"> </w:t>
      </w:r>
      <w:r w:rsidR="00B33606" w:rsidRPr="00B33606">
        <w:rPr>
          <w:rFonts w:eastAsia="Times New Roman"/>
          <w:sz w:val="19"/>
          <w:szCs w:val="19"/>
        </w:rPr>
        <w:t>He has coordinated numerous EC projects and most recently participated in the EC H2</w:t>
      </w:r>
      <w:r w:rsidR="00B33606">
        <w:rPr>
          <w:rFonts w:eastAsia="Times New Roman"/>
          <w:sz w:val="19"/>
          <w:szCs w:val="19"/>
        </w:rPr>
        <w:t xml:space="preserve">020 </w:t>
      </w:r>
      <w:proofErr w:type="spellStart"/>
      <w:r w:rsidR="00B33606">
        <w:rPr>
          <w:rFonts w:eastAsia="Times New Roman"/>
          <w:sz w:val="19"/>
          <w:szCs w:val="19"/>
        </w:rPr>
        <w:t>GateOne</w:t>
      </w:r>
      <w:proofErr w:type="spellEnd"/>
      <w:r w:rsidR="00B33606">
        <w:rPr>
          <w:rFonts w:eastAsia="Times New Roman"/>
          <w:sz w:val="19"/>
          <w:szCs w:val="19"/>
        </w:rPr>
        <w:t xml:space="preserve"> project</w:t>
      </w:r>
      <w:r w:rsidR="00B33606" w:rsidRPr="00B33606">
        <w:rPr>
          <w:rFonts w:eastAsia="Times New Roman"/>
          <w:sz w:val="19"/>
          <w:szCs w:val="19"/>
        </w:rPr>
        <w:t>.</w:t>
      </w:r>
      <w:r w:rsidR="00B33606">
        <w:rPr>
          <w:rFonts w:eastAsia="Times New Roman"/>
          <w:sz w:val="19"/>
          <w:szCs w:val="19"/>
        </w:rPr>
        <w:t xml:space="preserve"> </w:t>
      </w:r>
      <w:r w:rsidRPr="00FD6524">
        <w:rPr>
          <w:rFonts w:eastAsia="Times New Roman"/>
          <w:sz w:val="19"/>
          <w:szCs w:val="19"/>
        </w:rPr>
        <w:t>Zulfiqur</w:t>
      </w:r>
      <w:r w:rsidR="00B33606">
        <w:rPr>
          <w:rFonts w:eastAsia="Times New Roman"/>
          <w:sz w:val="19"/>
          <w:szCs w:val="19"/>
        </w:rPr>
        <w:t xml:space="preserve"> currently</w:t>
      </w:r>
      <w:r w:rsidRPr="00FD6524">
        <w:rPr>
          <w:rFonts w:eastAsia="Times New Roman"/>
          <w:sz w:val="19"/>
          <w:szCs w:val="19"/>
        </w:rPr>
        <w:t xml:space="preserve"> has responsibility for the H</w:t>
      </w:r>
      <w:r w:rsidR="00B33606">
        <w:rPr>
          <w:rFonts w:eastAsia="Times New Roman"/>
          <w:sz w:val="19"/>
          <w:szCs w:val="19"/>
        </w:rPr>
        <w:t xml:space="preserve">ealthcare </w:t>
      </w:r>
      <w:r w:rsidRPr="00FD6524">
        <w:rPr>
          <w:rFonts w:eastAsia="Times New Roman"/>
          <w:sz w:val="19"/>
          <w:szCs w:val="19"/>
        </w:rPr>
        <w:t>I</w:t>
      </w:r>
      <w:r w:rsidR="00B33606">
        <w:rPr>
          <w:rFonts w:eastAsia="Times New Roman"/>
          <w:sz w:val="19"/>
          <w:szCs w:val="19"/>
        </w:rPr>
        <w:t xml:space="preserve">nnovation </w:t>
      </w:r>
      <w:r w:rsidRPr="00FD6524">
        <w:rPr>
          <w:rFonts w:eastAsia="Times New Roman"/>
          <w:sz w:val="19"/>
          <w:szCs w:val="19"/>
        </w:rPr>
        <w:t>C</w:t>
      </w:r>
      <w:r w:rsidR="00B33606">
        <w:rPr>
          <w:rFonts w:eastAsia="Times New Roman"/>
          <w:sz w:val="19"/>
          <w:szCs w:val="19"/>
        </w:rPr>
        <w:t xml:space="preserve">entre. </w:t>
      </w:r>
      <w:r w:rsidR="00B33606" w:rsidRPr="00B33606">
        <w:rPr>
          <w:rFonts w:eastAsia="Times New Roman"/>
          <w:sz w:val="19"/>
          <w:szCs w:val="19"/>
        </w:rPr>
        <w:t>He is on the Editorial Board for Micromachines and is member of the UK Research and Innovation Future Leaders Fellowships (UKRI FLF) Peer Review College</w:t>
      </w:r>
      <w:r w:rsidR="00B33606">
        <w:rPr>
          <w:rFonts w:eastAsia="Times New Roman"/>
          <w:sz w:val="19"/>
          <w:szCs w:val="19"/>
        </w:rPr>
        <w:t>.</w:t>
      </w:r>
      <w:r w:rsidR="00B33606" w:rsidRPr="00B33606">
        <w:rPr>
          <w:rFonts w:eastAsia="Times New Roman"/>
          <w:sz w:val="19"/>
          <w:szCs w:val="19"/>
        </w:rPr>
        <w:t xml:space="preserve"> </w:t>
      </w:r>
    </w:p>
    <w:p w:rsidR="00F5192A" w:rsidRDefault="00F5192A">
      <w:pPr>
        <w:spacing w:line="230" w:lineRule="exact"/>
        <w:rPr>
          <w:rFonts w:eastAsia="Times New Roman"/>
          <w:sz w:val="19"/>
          <w:szCs w:val="19"/>
        </w:rPr>
      </w:pPr>
    </w:p>
    <w:p w:rsidR="00F5192A" w:rsidRDefault="00713442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Presenting author details</w:t>
      </w:r>
    </w:p>
    <w:p w:rsidR="00F5192A" w:rsidRDefault="00F5192A">
      <w:pPr>
        <w:spacing w:line="20" w:lineRule="exact"/>
        <w:rPr>
          <w:sz w:val="24"/>
          <w:szCs w:val="24"/>
        </w:rPr>
      </w:pPr>
    </w:p>
    <w:p w:rsidR="00F5192A" w:rsidRDefault="002D0CA1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64770</wp:posOffset>
            </wp:positionV>
            <wp:extent cx="1244600" cy="1343660"/>
            <wp:effectExtent l="0" t="0" r="0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ulf Phot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18" w:lineRule="exact"/>
        <w:rPr>
          <w:sz w:val="24"/>
          <w:szCs w:val="24"/>
        </w:rPr>
      </w:pPr>
    </w:p>
    <w:p w:rsidR="00B33606" w:rsidRDefault="00B33606">
      <w:pPr>
        <w:ind w:left="3"/>
        <w:rPr>
          <w:rFonts w:eastAsia="Times New Roman"/>
          <w:sz w:val="19"/>
          <w:szCs w:val="19"/>
        </w:rPr>
      </w:pPr>
    </w:p>
    <w:p w:rsidR="00B33606" w:rsidRDefault="00B33606">
      <w:pPr>
        <w:ind w:left="3"/>
        <w:rPr>
          <w:rFonts w:eastAsia="Times New Roman"/>
          <w:sz w:val="19"/>
          <w:szCs w:val="19"/>
        </w:rPr>
      </w:pPr>
    </w:p>
    <w:p w:rsidR="00F5192A" w:rsidRDefault="00713442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Full Name:</w:t>
      </w:r>
      <w:r w:rsidR="002D0CA1">
        <w:rPr>
          <w:rFonts w:eastAsia="Times New Roman"/>
          <w:sz w:val="19"/>
          <w:szCs w:val="19"/>
        </w:rPr>
        <w:t xml:space="preserve"> Zulfiqur Ali</w:t>
      </w:r>
    </w:p>
    <w:p w:rsidR="00F5192A" w:rsidRDefault="00F5192A">
      <w:pPr>
        <w:spacing w:line="2" w:lineRule="exact"/>
        <w:rPr>
          <w:sz w:val="24"/>
          <w:szCs w:val="24"/>
        </w:rPr>
      </w:pPr>
    </w:p>
    <w:p w:rsidR="00F5192A" w:rsidRDefault="00713442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Contact number</w:t>
      </w:r>
      <w:proofErr w:type="gramStart"/>
      <w:r>
        <w:rPr>
          <w:rFonts w:eastAsia="Times New Roman"/>
          <w:sz w:val="19"/>
          <w:szCs w:val="19"/>
        </w:rPr>
        <w:t>:</w:t>
      </w:r>
      <w:r w:rsidR="002D0CA1">
        <w:rPr>
          <w:rFonts w:eastAsia="Times New Roman"/>
          <w:sz w:val="19"/>
          <w:szCs w:val="19"/>
        </w:rPr>
        <w:t>+</w:t>
      </w:r>
      <w:proofErr w:type="gramEnd"/>
      <w:r w:rsidR="002D0CA1">
        <w:rPr>
          <w:rFonts w:eastAsia="Times New Roman"/>
          <w:sz w:val="19"/>
          <w:szCs w:val="19"/>
        </w:rPr>
        <w:t>44-(0)7584-490236</w:t>
      </w:r>
    </w:p>
    <w:p w:rsidR="00F5192A" w:rsidRDefault="00713442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Twitter account:</w:t>
      </w:r>
      <w:r w:rsidR="002D0CA1">
        <w:rPr>
          <w:rFonts w:eastAsia="Times New Roman"/>
          <w:sz w:val="19"/>
          <w:szCs w:val="19"/>
        </w:rPr>
        <w:t>@</w:t>
      </w:r>
      <w:proofErr w:type="spellStart"/>
      <w:r w:rsidR="002D0CA1">
        <w:rPr>
          <w:rFonts w:eastAsia="Times New Roman"/>
          <w:sz w:val="19"/>
          <w:szCs w:val="19"/>
        </w:rPr>
        <w:t>Zulf_Ali</w:t>
      </w:r>
      <w:proofErr w:type="spellEnd"/>
    </w:p>
    <w:p w:rsidR="00F5192A" w:rsidRDefault="00F5192A">
      <w:pPr>
        <w:spacing w:line="3" w:lineRule="exact"/>
        <w:rPr>
          <w:sz w:val="24"/>
          <w:szCs w:val="24"/>
        </w:rPr>
      </w:pPr>
    </w:p>
    <w:p w:rsidR="00F5192A" w:rsidRDefault="00713442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 xml:space="preserve">Linked In </w:t>
      </w:r>
      <w:proofErr w:type="spellStart"/>
      <w:r>
        <w:rPr>
          <w:rFonts w:eastAsia="Times New Roman"/>
          <w:sz w:val="19"/>
          <w:szCs w:val="19"/>
        </w:rPr>
        <w:t>account</w:t>
      </w:r>
      <w:proofErr w:type="gramStart"/>
      <w:r>
        <w:rPr>
          <w:rFonts w:eastAsia="Times New Roman"/>
          <w:sz w:val="19"/>
          <w:szCs w:val="19"/>
        </w:rPr>
        <w:t>:</w:t>
      </w:r>
      <w:r w:rsidR="00FD6524">
        <w:rPr>
          <w:rFonts w:eastAsia="Times New Roman"/>
          <w:sz w:val="19"/>
          <w:szCs w:val="19"/>
        </w:rPr>
        <w:t>zulfi</w:t>
      </w:r>
      <w:proofErr w:type="spellEnd"/>
      <w:proofErr w:type="gramEnd"/>
    </w:p>
    <w:p w:rsidR="00F5192A" w:rsidRDefault="00F5192A">
      <w:pPr>
        <w:spacing w:line="3" w:lineRule="exact"/>
        <w:rPr>
          <w:sz w:val="24"/>
          <w:szCs w:val="24"/>
        </w:rPr>
      </w:pPr>
    </w:p>
    <w:p w:rsidR="00F5192A" w:rsidRDefault="00713442" w:rsidP="00B33606">
      <w:pPr>
        <w:ind w:left="3"/>
        <w:sectPr w:rsidR="00F5192A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  <w:r>
        <w:rPr>
          <w:rFonts w:eastAsia="Times New Roman"/>
          <w:sz w:val="19"/>
          <w:szCs w:val="19"/>
        </w:rPr>
        <w:t>Category: Oral pr</w:t>
      </w:r>
      <w:r w:rsidR="002D0CA1">
        <w:rPr>
          <w:rFonts w:eastAsia="Times New Roman"/>
          <w:sz w:val="19"/>
          <w:szCs w:val="19"/>
        </w:rPr>
        <w:t>esentation</w:t>
      </w: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00" w:lineRule="exact"/>
        <w:rPr>
          <w:sz w:val="24"/>
          <w:szCs w:val="24"/>
        </w:rPr>
      </w:pPr>
    </w:p>
    <w:p w:rsidR="00F5192A" w:rsidRDefault="00F5192A">
      <w:pPr>
        <w:spacing w:line="287" w:lineRule="exact"/>
        <w:rPr>
          <w:sz w:val="24"/>
          <w:szCs w:val="24"/>
        </w:rPr>
      </w:pPr>
    </w:p>
    <w:p w:rsidR="00F5192A" w:rsidRDefault="0071344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Meetings International Pte Ltd</w:t>
      </w:r>
    </w:p>
    <w:p w:rsidR="00F5192A" w:rsidRDefault="00F5192A">
      <w:pPr>
        <w:spacing w:line="1" w:lineRule="exact"/>
        <w:rPr>
          <w:sz w:val="24"/>
          <w:szCs w:val="24"/>
        </w:rPr>
      </w:pPr>
    </w:p>
    <w:p w:rsidR="00F5192A" w:rsidRDefault="0071344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Phone/WhatsApp: +65 31581626</w:t>
      </w:r>
    </w:p>
    <w:sectPr w:rsidR="00F5192A">
      <w:type w:val="continuous"/>
      <w:pgSz w:w="11900" w:h="16834"/>
      <w:pgMar w:top="1070" w:right="719" w:bottom="0" w:left="74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2C9A8744"/>
    <w:lvl w:ilvl="0" w:tplc="C0D8A906">
      <w:start w:val="1"/>
      <w:numFmt w:val="decimal"/>
      <w:lvlText w:val="%1"/>
      <w:lvlJc w:val="left"/>
    </w:lvl>
    <w:lvl w:ilvl="1" w:tplc="C0109A86">
      <w:start w:val="1"/>
      <w:numFmt w:val="upperLetter"/>
      <w:lvlText w:val="%2"/>
      <w:lvlJc w:val="left"/>
    </w:lvl>
    <w:lvl w:ilvl="2" w:tplc="7E727BB4">
      <w:numFmt w:val="decimal"/>
      <w:lvlText w:val=""/>
      <w:lvlJc w:val="left"/>
    </w:lvl>
    <w:lvl w:ilvl="3" w:tplc="16C27FA2">
      <w:numFmt w:val="decimal"/>
      <w:lvlText w:val=""/>
      <w:lvlJc w:val="left"/>
    </w:lvl>
    <w:lvl w:ilvl="4" w:tplc="E9AC323E">
      <w:numFmt w:val="decimal"/>
      <w:lvlText w:val=""/>
      <w:lvlJc w:val="left"/>
    </w:lvl>
    <w:lvl w:ilvl="5" w:tplc="ED2077CA">
      <w:numFmt w:val="decimal"/>
      <w:lvlText w:val=""/>
      <w:lvlJc w:val="left"/>
    </w:lvl>
    <w:lvl w:ilvl="6" w:tplc="1DD6EC3E">
      <w:numFmt w:val="decimal"/>
      <w:lvlText w:val=""/>
      <w:lvlJc w:val="left"/>
    </w:lvl>
    <w:lvl w:ilvl="7" w:tplc="C70C9EA6">
      <w:numFmt w:val="decimal"/>
      <w:lvlText w:val=""/>
      <w:lvlJc w:val="left"/>
    </w:lvl>
    <w:lvl w:ilvl="8" w:tplc="E41A3B40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6E24BF16"/>
    <w:lvl w:ilvl="0" w:tplc="49BE5C6A">
      <w:start w:val="2"/>
      <w:numFmt w:val="decimal"/>
      <w:lvlText w:val="%1."/>
      <w:lvlJc w:val="left"/>
    </w:lvl>
    <w:lvl w:ilvl="1" w:tplc="CE2A9A82">
      <w:numFmt w:val="decimal"/>
      <w:lvlText w:val=""/>
      <w:lvlJc w:val="left"/>
    </w:lvl>
    <w:lvl w:ilvl="2" w:tplc="E5048CF8">
      <w:numFmt w:val="decimal"/>
      <w:lvlText w:val=""/>
      <w:lvlJc w:val="left"/>
    </w:lvl>
    <w:lvl w:ilvl="3" w:tplc="8BA24000">
      <w:numFmt w:val="decimal"/>
      <w:lvlText w:val=""/>
      <w:lvlJc w:val="left"/>
    </w:lvl>
    <w:lvl w:ilvl="4" w:tplc="A8DC904C">
      <w:numFmt w:val="decimal"/>
      <w:lvlText w:val=""/>
      <w:lvlJc w:val="left"/>
    </w:lvl>
    <w:lvl w:ilvl="5" w:tplc="39888B22">
      <w:numFmt w:val="decimal"/>
      <w:lvlText w:val=""/>
      <w:lvlJc w:val="left"/>
    </w:lvl>
    <w:lvl w:ilvl="6" w:tplc="03EA7F6C">
      <w:numFmt w:val="decimal"/>
      <w:lvlText w:val=""/>
      <w:lvlJc w:val="left"/>
    </w:lvl>
    <w:lvl w:ilvl="7" w:tplc="BE0A12DC">
      <w:numFmt w:val="decimal"/>
      <w:lvlText w:val=""/>
      <w:lvlJc w:val="left"/>
    </w:lvl>
    <w:lvl w:ilvl="8" w:tplc="F1A044C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5E1E0E58"/>
    <w:lvl w:ilvl="0" w:tplc="B57628D0">
      <w:start w:val="1"/>
      <w:numFmt w:val="decimal"/>
      <w:lvlText w:val="%1"/>
      <w:lvlJc w:val="left"/>
    </w:lvl>
    <w:lvl w:ilvl="1" w:tplc="FD70607E">
      <w:start w:val="61"/>
      <w:numFmt w:val="upperLetter"/>
      <w:lvlText w:val="%2."/>
      <w:lvlJc w:val="left"/>
    </w:lvl>
    <w:lvl w:ilvl="2" w:tplc="3D2E6E22">
      <w:numFmt w:val="decimal"/>
      <w:lvlText w:val=""/>
      <w:lvlJc w:val="left"/>
    </w:lvl>
    <w:lvl w:ilvl="3" w:tplc="AC803B2C">
      <w:numFmt w:val="decimal"/>
      <w:lvlText w:val=""/>
      <w:lvlJc w:val="left"/>
    </w:lvl>
    <w:lvl w:ilvl="4" w:tplc="64F69792">
      <w:numFmt w:val="decimal"/>
      <w:lvlText w:val=""/>
      <w:lvlJc w:val="left"/>
    </w:lvl>
    <w:lvl w:ilvl="5" w:tplc="691848E0">
      <w:numFmt w:val="decimal"/>
      <w:lvlText w:val=""/>
      <w:lvlJc w:val="left"/>
    </w:lvl>
    <w:lvl w:ilvl="6" w:tplc="37F40A58">
      <w:numFmt w:val="decimal"/>
      <w:lvlText w:val=""/>
      <w:lvlJc w:val="left"/>
    </w:lvl>
    <w:lvl w:ilvl="7" w:tplc="4EBAB662">
      <w:numFmt w:val="decimal"/>
      <w:lvlText w:val=""/>
      <w:lvlJc w:val="left"/>
    </w:lvl>
    <w:lvl w:ilvl="8" w:tplc="3F948F90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D652821C"/>
    <w:lvl w:ilvl="0" w:tplc="1160E0AC">
      <w:start w:val="102"/>
      <w:numFmt w:val="upperLetter"/>
      <w:lvlText w:val="%1"/>
      <w:lvlJc w:val="left"/>
    </w:lvl>
    <w:lvl w:ilvl="1" w:tplc="B37E6FF2">
      <w:start w:val="1"/>
      <w:numFmt w:val="upperLetter"/>
      <w:lvlText w:val="%2"/>
      <w:lvlJc w:val="left"/>
    </w:lvl>
    <w:lvl w:ilvl="2" w:tplc="1EE822EA">
      <w:start w:val="22"/>
      <w:numFmt w:val="upperLetter"/>
      <w:lvlText w:val="%3."/>
      <w:lvlJc w:val="left"/>
    </w:lvl>
    <w:lvl w:ilvl="3" w:tplc="CFC43A64">
      <w:numFmt w:val="decimal"/>
      <w:lvlText w:val=""/>
      <w:lvlJc w:val="left"/>
    </w:lvl>
    <w:lvl w:ilvl="4" w:tplc="6CE2AF92">
      <w:numFmt w:val="decimal"/>
      <w:lvlText w:val=""/>
      <w:lvlJc w:val="left"/>
    </w:lvl>
    <w:lvl w:ilvl="5" w:tplc="0180E208">
      <w:numFmt w:val="decimal"/>
      <w:lvlText w:val=""/>
      <w:lvlJc w:val="left"/>
    </w:lvl>
    <w:lvl w:ilvl="6" w:tplc="F09ADD12">
      <w:numFmt w:val="decimal"/>
      <w:lvlText w:val=""/>
      <w:lvlJc w:val="left"/>
    </w:lvl>
    <w:lvl w:ilvl="7" w:tplc="A802E7A0">
      <w:numFmt w:val="decimal"/>
      <w:lvlText w:val=""/>
      <w:lvlJc w:val="left"/>
    </w:lvl>
    <w:lvl w:ilvl="8" w:tplc="9F36856E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7504AF4A"/>
    <w:lvl w:ilvl="0" w:tplc="4C942FE0">
      <w:start w:val="35"/>
      <w:numFmt w:val="upperLetter"/>
      <w:lvlText w:val="%1."/>
      <w:lvlJc w:val="left"/>
    </w:lvl>
    <w:lvl w:ilvl="1" w:tplc="E9A8871A">
      <w:numFmt w:val="decimal"/>
      <w:lvlText w:val=""/>
      <w:lvlJc w:val="left"/>
    </w:lvl>
    <w:lvl w:ilvl="2" w:tplc="6B6A22C8">
      <w:numFmt w:val="decimal"/>
      <w:lvlText w:val=""/>
      <w:lvlJc w:val="left"/>
    </w:lvl>
    <w:lvl w:ilvl="3" w:tplc="AE929CB2">
      <w:numFmt w:val="decimal"/>
      <w:lvlText w:val=""/>
      <w:lvlJc w:val="left"/>
    </w:lvl>
    <w:lvl w:ilvl="4" w:tplc="EF1A626A">
      <w:numFmt w:val="decimal"/>
      <w:lvlText w:val=""/>
      <w:lvlJc w:val="left"/>
    </w:lvl>
    <w:lvl w:ilvl="5" w:tplc="ECC28684">
      <w:numFmt w:val="decimal"/>
      <w:lvlText w:val=""/>
      <w:lvlJc w:val="left"/>
    </w:lvl>
    <w:lvl w:ilvl="6" w:tplc="DA98773A">
      <w:numFmt w:val="decimal"/>
      <w:lvlText w:val=""/>
      <w:lvlJc w:val="left"/>
    </w:lvl>
    <w:lvl w:ilvl="7" w:tplc="81621228">
      <w:numFmt w:val="decimal"/>
      <w:lvlText w:val=""/>
      <w:lvlJc w:val="left"/>
    </w:lvl>
    <w:lvl w:ilvl="8" w:tplc="EE3C0D38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D7264D40"/>
    <w:lvl w:ilvl="0" w:tplc="FCD07904">
      <w:start w:val="9"/>
      <w:numFmt w:val="upperLetter"/>
      <w:lvlText w:val="%1."/>
      <w:lvlJc w:val="left"/>
    </w:lvl>
    <w:lvl w:ilvl="1" w:tplc="163C4AA4">
      <w:numFmt w:val="decimal"/>
      <w:lvlText w:val=""/>
      <w:lvlJc w:val="left"/>
    </w:lvl>
    <w:lvl w:ilvl="2" w:tplc="E7240686">
      <w:numFmt w:val="decimal"/>
      <w:lvlText w:val=""/>
      <w:lvlJc w:val="left"/>
    </w:lvl>
    <w:lvl w:ilvl="3" w:tplc="BFC23112">
      <w:numFmt w:val="decimal"/>
      <w:lvlText w:val=""/>
      <w:lvlJc w:val="left"/>
    </w:lvl>
    <w:lvl w:ilvl="4" w:tplc="D794CA38">
      <w:numFmt w:val="decimal"/>
      <w:lvlText w:val=""/>
      <w:lvlJc w:val="left"/>
    </w:lvl>
    <w:lvl w:ilvl="5" w:tplc="4E7664A6">
      <w:numFmt w:val="decimal"/>
      <w:lvlText w:val=""/>
      <w:lvlJc w:val="left"/>
    </w:lvl>
    <w:lvl w:ilvl="6" w:tplc="9E4A1D4A">
      <w:numFmt w:val="decimal"/>
      <w:lvlText w:val=""/>
      <w:lvlJc w:val="left"/>
    </w:lvl>
    <w:lvl w:ilvl="7" w:tplc="E0747598">
      <w:numFmt w:val="decimal"/>
      <w:lvlText w:val=""/>
      <w:lvlJc w:val="left"/>
    </w:lvl>
    <w:lvl w:ilvl="8" w:tplc="C7E89130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2A"/>
    <w:rsid w:val="00144239"/>
    <w:rsid w:val="002D0CA1"/>
    <w:rsid w:val="00324C75"/>
    <w:rsid w:val="00526E65"/>
    <w:rsid w:val="00706FCC"/>
    <w:rsid w:val="00713442"/>
    <w:rsid w:val="007C5E65"/>
    <w:rsid w:val="008040C3"/>
    <w:rsid w:val="00A10378"/>
    <w:rsid w:val="00AB2741"/>
    <w:rsid w:val="00B33606"/>
    <w:rsid w:val="00B439B4"/>
    <w:rsid w:val="00B47B88"/>
    <w:rsid w:val="00E61531"/>
    <w:rsid w:val="00F5192A"/>
    <w:rsid w:val="00F74D5B"/>
    <w:rsid w:val="00F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0CC00"/>
  <w15:docId w15:val="{FBCA921E-0E70-4DBE-BA2C-134D642C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Ali, Zulf</cp:lastModifiedBy>
  <cp:revision>2</cp:revision>
  <dcterms:created xsi:type="dcterms:W3CDTF">2020-06-15T20:05:00Z</dcterms:created>
  <dcterms:modified xsi:type="dcterms:W3CDTF">2020-06-15T20:05:00Z</dcterms:modified>
</cp:coreProperties>
</file>