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6D7E" w:rsidRPr="00EA1F7B" w:rsidRDefault="002B6D7E" w:rsidP="00D06D8D">
      <w:pPr>
        <w:pStyle w:val="a5"/>
        <w:spacing w:before="41"/>
        <w:ind w:right="-427"/>
        <w:jc w:val="center"/>
        <w:rPr>
          <w:b/>
          <w:sz w:val="24"/>
          <w:szCs w:val="24"/>
        </w:rPr>
      </w:pPr>
      <w:bookmarkStart w:id="0" w:name="Andrey_Belousov,_Elena_Malygon,_Vadim_Ya"/>
      <w:bookmarkEnd w:id="0"/>
      <w:r w:rsidRPr="00EA1F7B">
        <w:rPr>
          <w:b/>
          <w:sz w:val="24"/>
          <w:szCs w:val="24"/>
        </w:rPr>
        <w:t>Application of the standardized form magnetite nanoparticles (ICNB) in creature simple and practical method of additive modernization of preservation solutions for red blood cells</w:t>
      </w:r>
    </w:p>
    <w:p w:rsidR="002B6D7E" w:rsidRPr="00EA1F7B" w:rsidRDefault="002B6D7E" w:rsidP="002B6D7E">
      <w:pPr>
        <w:pStyle w:val="a5"/>
        <w:spacing w:before="41"/>
        <w:ind w:left="284" w:right="422"/>
        <w:jc w:val="center"/>
        <w:rPr>
          <w:b/>
          <w:sz w:val="24"/>
          <w:szCs w:val="24"/>
        </w:rPr>
      </w:pPr>
    </w:p>
    <w:p w:rsidR="002B6D7E" w:rsidRPr="00EA1F7B" w:rsidRDefault="002B6D7E" w:rsidP="002B6D7E">
      <w:pPr>
        <w:pStyle w:val="ac"/>
        <w:numPr>
          <w:ilvl w:val="0"/>
          <w:numId w:val="6"/>
        </w:numPr>
        <w:autoSpaceDE w:val="0"/>
        <w:autoSpaceDN w:val="0"/>
        <w:adjustRightInd w:val="0"/>
        <w:jc w:val="center"/>
        <w:rPr>
          <w:b/>
          <w:bCs/>
          <w:sz w:val="20"/>
        </w:rPr>
      </w:pPr>
      <w:r w:rsidRPr="00EA1F7B">
        <w:rPr>
          <w:b/>
          <w:bCs/>
          <w:sz w:val="20"/>
        </w:rPr>
        <w:t xml:space="preserve">Belousov, </w:t>
      </w:r>
      <w:proofErr w:type="spellStart"/>
      <w:r w:rsidRPr="00EA1F7B">
        <w:rPr>
          <w:b/>
          <w:bCs/>
          <w:sz w:val="20"/>
        </w:rPr>
        <w:t>E.Malygon</w:t>
      </w:r>
      <w:proofErr w:type="spellEnd"/>
      <w:r w:rsidRPr="00EA1F7B">
        <w:rPr>
          <w:b/>
          <w:bCs/>
          <w:sz w:val="20"/>
        </w:rPr>
        <w:t xml:space="preserve">, </w:t>
      </w:r>
      <w:proofErr w:type="spellStart"/>
      <w:r w:rsidRPr="00EA1F7B">
        <w:rPr>
          <w:b/>
          <w:bCs/>
          <w:sz w:val="20"/>
        </w:rPr>
        <w:t>V.Yavorskiy</w:t>
      </w:r>
      <w:proofErr w:type="spellEnd"/>
      <w:r w:rsidRPr="00EA1F7B">
        <w:rPr>
          <w:b/>
          <w:bCs/>
          <w:sz w:val="20"/>
        </w:rPr>
        <w:t>, E. Belousova,</w:t>
      </w:r>
    </w:p>
    <w:p w:rsidR="002B6D7E" w:rsidRPr="00EA1F7B" w:rsidRDefault="002B6D7E" w:rsidP="002B6D7E">
      <w:pPr>
        <w:autoSpaceDE w:val="0"/>
        <w:autoSpaceDN w:val="0"/>
        <w:adjustRightInd w:val="0"/>
        <w:jc w:val="center"/>
        <w:rPr>
          <w:bCs/>
          <w:sz w:val="20"/>
        </w:rPr>
      </w:pPr>
      <w:r w:rsidRPr="00EA1F7B">
        <w:rPr>
          <w:bCs/>
          <w:sz w:val="20"/>
        </w:rPr>
        <w:t xml:space="preserve">Laboratory of Applied Nanotechnology of Belousov, </w:t>
      </w:r>
    </w:p>
    <w:p w:rsidR="002B6D7E" w:rsidRPr="00EA1F7B" w:rsidRDefault="002B6D7E" w:rsidP="002B6D7E">
      <w:pPr>
        <w:autoSpaceDE w:val="0"/>
        <w:autoSpaceDN w:val="0"/>
        <w:adjustRightInd w:val="0"/>
        <w:jc w:val="center"/>
        <w:rPr>
          <w:bCs/>
          <w:sz w:val="20"/>
        </w:rPr>
      </w:pPr>
      <w:r w:rsidRPr="00EA1F7B">
        <w:rPr>
          <w:bCs/>
          <w:sz w:val="20"/>
        </w:rPr>
        <w:t xml:space="preserve">Kharkov Medical Academy of Postgraduate Education, </w:t>
      </w:r>
    </w:p>
    <w:p w:rsidR="002B6D7E" w:rsidRPr="00EA1F7B" w:rsidRDefault="002B6D7E" w:rsidP="002B6D7E">
      <w:pPr>
        <w:autoSpaceDE w:val="0"/>
        <w:autoSpaceDN w:val="0"/>
        <w:adjustRightInd w:val="0"/>
        <w:jc w:val="center"/>
        <w:rPr>
          <w:bCs/>
          <w:sz w:val="20"/>
        </w:rPr>
      </w:pPr>
      <w:r w:rsidRPr="00EA1F7B">
        <w:rPr>
          <w:bCs/>
          <w:sz w:val="20"/>
        </w:rPr>
        <w:t>Kharkov Regional Center of Blood Service, Ukraine</w:t>
      </w:r>
    </w:p>
    <w:p w:rsidR="002B6D7E" w:rsidRPr="00EA1F7B" w:rsidRDefault="002B6D7E" w:rsidP="002B6D7E">
      <w:pPr>
        <w:autoSpaceDE w:val="0"/>
        <w:autoSpaceDN w:val="0"/>
        <w:adjustRightInd w:val="0"/>
        <w:jc w:val="center"/>
        <w:rPr>
          <w:bCs/>
          <w:sz w:val="20"/>
        </w:rPr>
      </w:pPr>
      <w:r w:rsidRPr="00EA1F7B">
        <w:rPr>
          <w:bCs/>
          <w:sz w:val="20"/>
        </w:rPr>
        <w:t xml:space="preserve">Web site: </w:t>
      </w:r>
      <w:hyperlink r:id="rId7" w:history="1">
        <w:r w:rsidRPr="00EA1F7B">
          <w:rPr>
            <w:rStyle w:val="a6"/>
            <w:bCs/>
            <w:sz w:val="20"/>
          </w:rPr>
          <w:t>www.nanolab.com.ua</w:t>
        </w:r>
      </w:hyperlink>
      <w:r w:rsidRPr="00EA1F7B">
        <w:rPr>
          <w:bCs/>
          <w:sz w:val="20"/>
        </w:rPr>
        <w:t>; E-mail: an.belousov2012@ukr.net</w:t>
      </w:r>
    </w:p>
    <w:p w:rsidR="002B6D7E" w:rsidRPr="00EA1F7B" w:rsidRDefault="002B6D7E" w:rsidP="002B6D7E">
      <w:pPr>
        <w:autoSpaceDE w:val="0"/>
        <w:autoSpaceDN w:val="0"/>
        <w:adjustRightInd w:val="0"/>
        <w:jc w:val="center"/>
        <w:rPr>
          <w:bCs/>
          <w:sz w:val="20"/>
        </w:rPr>
      </w:pPr>
    </w:p>
    <w:p w:rsidR="002B6D7E" w:rsidRDefault="002B6D7E" w:rsidP="002B6D7E">
      <w:pPr>
        <w:autoSpaceDE w:val="0"/>
        <w:autoSpaceDN w:val="0"/>
        <w:adjustRightInd w:val="0"/>
        <w:jc w:val="center"/>
        <w:rPr>
          <w:bCs/>
          <w:sz w:val="20"/>
        </w:rPr>
      </w:pPr>
    </w:p>
    <w:p w:rsidR="00EA1F7B" w:rsidRPr="00EA1F7B" w:rsidRDefault="00EA1F7B" w:rsidP="002B6D7E">
      <w:pPr>
        <w:autoSpaceDE w:val="0"/>
        <w:autoSpaceDN w:val="0"/>
        <w:adjustRightInd w:val="0"/>
        <w:jc w:val="center"/>
        <w:rPr>
          <w:bCs/>
          <w:sz w:val="20"/>
        </w:rPr>
      </w:pPr>
    </w:p>
    <w:p w:rsidR="005C2930" w:rsidRPr="00EA1F7B" w:rsidRDefault="005C2930" w:rsidP="002B6D7E">
      <w:pPr>
        <w:autoSpaceDE w:val="0"/>
        <w:autoSpaceDN w:val="0"/>
        <w:adjustRightInd w:val="0"/>
        <w:rPr>
          <w:sz w:val="20"/>
          <w:lang w:val="en-GB"/>
        </w:rPr>
        <w:sectPr w:rsidR="005C2930" w:rsidRPr="00EA1F7B" w:rsidSect="00107DC4">
          <w:headerReference w:type="even" r:id="rId8"/>
          <w:footerReference w:type="even" r:id="rId9"/>
          <w:footerReference w:type="default" r:id="rId10"/>
          <w:pgSz w:w="11907" w:h="16840" w:code="9"/>
          <w:pgMar w:top="851" w:right="1418" w:bottom="1418" w:left="1418" w:header="720" w:footer="720" w:gutter="0"/>
          <w:cols w:space="720"/>
        </w:sectPr>
      </w:pPr>
    </w:p>
    <w:p w:rsidR="00EA1F7B" w:rsidRPr="00EA1F7B" w:rsidRDefault="00EA1F7B" w:rsidP="00D06D8D">
      <w:pPr>
        <w:ind w:left="-284" w:right="-82"/>
        <w:rPr>
          <w:b/>
          <w:sz w:val="20"/>
          <w:lang w:eastAsia="ru-RU"/>
        </w:rPr>
      </w:pPr>
      <w:r w:rsidRPr="00EA1F7B">
        <w:rPr>
          <w:b/>
          <w:sz w:val="20"/>
          <w:lang w:eastAsia="ru-RU"/>
        </w:rPr>
        <w:t>Keywords: nanotechnology, preserved red blood cells, magnetite nanoparticles (ICNB), method of additive modernization of preservation solutions, RBCs storage, production process.</w:t>
      </w:r>
    </w:p>
    <w:p w:rsidR="00EA1F7B" w:rsidRPr="00EA1F7B" w:rsidRDefault="00EA1F7B" w:rsidP="00D06D8D">
      <w:pPr>
        <w:ind w:left="-284" w:right="-82"/>
        <w:rPr>
          <w:b/>
          <w:sz w:val="20"/>
        </w:rPr>
      </w:pPr>
    </w:p>
    <w:p w:rsidR="002B6D7E" w:rsidRPr="00D06D8D" w:rsidRDefault="00EA1F7B" w:rsidP="00D06D8D">
      <w:pPr>
        <w:ind w:left="-284" w:right="-82"/>
        <w:jc w:val="both"/>
        <w:rPr>
          <w:b/>
          <w:sz w:val="20"/>
        </w:rPr>
      </w:pPr>
      <w:r w:rsidRPr="00D06D8D">
        <w:rPr>
          <w:b/>
          <w:bCs/>
          <w:sz w:val="20"/>
        </w:rPr>
        <w:t>Abstract.</w:t>
      </w:r>
      <w:r w:rsidRPr="00D06D8D">
        <w:rPr>
          <w:bCs/>
          <w:sz w:val="20"/>
        </w:rPr>
        <w:t xml:space="preserve"> </w:t>
      </w:r>
      <w:r w:rsidR="002B6D7E" w:rsidRPr="00D06D8D">
        <w:rPr>
          <w:bCs/>
          <w:sz w:val="20"/>
        </w:rPr>
        <w:t xml:space="preserve">Recently the FDA has tightened and increased the assessment and acceptance criteria making it potentially more difficult and expensive to bring new RBCs storage systems to market. Although the regulatory agencies are to be commended for focusing on the safety of new therapies and devices for patients, there are concerns that the regulatory requirements for RBC storage systems have become excessive and are hindering progress. Technology developers are unwilling to take on the risk that a random poor quality RBCs component could jeopardize the success of licensure tests and clinical trials of their new blood storage systems and their significant financial investment. The researches has proved that now of magnetite nanoparticles are able not only to considerably reduce hemolysis, and thereby prolong storage time of the blood’s heparinized, influence on activity of </w:t>
      </w:r>
      <w:proofErr w:type="spellStart"/>
      <w:r w:rsidR="002B6D7E" w:rsidRPr="00D06D8D">
        <w:rPr>
          <w:bCs/>
          <w:sz w:val="20"/>
        </w:rPr>
        <w:t>adenosinetriphosphateses</w:t>
      </w:r>
      <w:proofErr w:type="spellEnd"/>
      <w:r w:rsidR="002B6D7E" w:rsidRPr="00D06D8D">
        <w:rPr>
          <w:bCs/>
          <w:sz w:val="20"/>
        </w:rPr>
        <w:t xml:space="preserve"> of erythrocytes, regulated transmembrane exchange, but also to extracorporeally influence on cellular apoptosis. The above was the basis for the choice of the theme of this study, devoted to the learning of the use of nanotechnology to correct the functional activity of red blood cells at the storage stages at a positive temperature. The main purpose of the first stage of the study is to develop a simple and practical method of additive modernization of preservation solutions that does not violate the compliance requirements, improves the quality, efficiency and safety transfusion of red blood cells.</w:t>
      </w:r>
      <w:r w:rsidR="002B6D7E" w:rsidRPr="00D06D8D">
        <w:rPr>
          <w:sz w:val="20"/>
        </w:rPr>
        <w:t xml:space="preserve"> It was established that saline </w:t>
      </w:r>
      <w:proofErr w:type="spellStart"/>
      <w:r w:rsidR="002B6D7E" w:rsidRPr="00D06D8D">
        <w:rPr>
          <w:sz w:val="20"/>
        </w:rPr>
        <w:t>NaCl</w:t>
      </w:r>
      <w:proofErr w:type="spellEnd"/>
      <w:r w:rsidR="002B6D7E" w:rsidRPr="00D06D8D">
        <w:rPr>
          <w:sz w:val="20"/>
        </w:rPr>
        <w:t xml:space="preserve"> which had previously been processed by magnetite nanoparticles (ICNB) had a marked membrane-stabilizing effect, inhibits </w:t>
      </w:r>
      <w:proofErr w:type="spellStart"/>
      <w:r w:rsidR="002B6D7E" w:rsidRPr="00D06D8D">
        <w:rPr>
          <w:sz w:val="20"/>
        </w:rPr>
        <w:t>haemolysis</w:t>
      </w:r>
      <w:proofErr w:type="spellEnd"/>
      <w:r w:rsidR="002B6D7E" w:rsidRPr="00D06D8D">
        <w:rPr>
          <w:sz w:val="20"/>
        </w:rPr>
        <w:t xml:space="preserve"> and increasing the sedimentation stability of preserved RBCs. The complex analysis of the obtained data allowed to determine the primary mechanisms effect of the saline </w:t>
      </w:r>
      <w:proofErr w:type="spellStart"/>
      <w:r w:rsidR="002B6D7E" w:rsidRPr="00D06D8D">
        <w:rPr>
          <w:sz w:val="20"/>
        </w:rPr>
        <w:t>NaCl</w:t>
      </w:r>
      <w:proofErr w:type="spellEnd"/>
      <w:r w:rsidR="002B6D7E" w:rsidRPr="00D06D8D">
        <w:rPr>
          <w:sz w:val="20"/>
        </w:rPr>
        <w:t xml:space="preserve"> which had previously been processed by ICNB on the preserved RBCs. The proposed method of additive modernization of preserved RBCs was adapted to the production process. The </w:t>
      </w:r>
      <w:proofErr w:type="spellStart"/>
      <w:r w:rsidR="002B6D7E" w:rsidRPr="00D06D8D">
        <w:rPr>
          <w:sz w:val="20"/>
        </w:rPr>
        <w:t>optimisation</w:t>
      </w:r>
      <w:proofErr w:type="spellEnd"/>
      <w:r w:rsidR="002B6D7E" w:rsidRPr="00D06D8D">
        <w:rPr>
          <w:sz w:val="20"/>
        </w:rPr>
        <w:t xml:space="preserve"> results were obtained in creating a simple and practical method of additive modernization of preservation solution that does not violate the compliance requirements, improves the quality, efficiency and safety transfusion of RBCs.</w:t>
      </w:r>
      <w:r w:rsidR="002B6D7E" w:rsidRPr="00D06D8D">
        <w:rPr>
          <w:b/>
          <w:sz w:val="20"/>
        </w:rPr>
        <w:t xml:space="preserve"> </w:t>
      </w:r>
      <w:r w:rsidR="002B6D7E" w:rsidRPr="00D06D8D">
        <w:rPr>
          <w:bCs/>
          <w:sz w:val="20"/>
        </w:rPr>
        <w:t xml:space="preserve">The effect of </w:t>
      </w:r>
      <w:proofErr w:type="spellStart"/>
      <w:r w:rsidR="002B6D7E" w:rsidRPr="00D06D8D">
        <w:rPr>
          <w:bCs/>
          <w:sz w:val="20"/>
        </w:rPr>
        <w:t>haemolysis</w:t>
      </w:r>
      <w:proofErr w:type="spellEnd"/>
      <w:r w:rsidR="002B6D7E" w:rsidRPr="00D06D8D">
        <w:rPr>
          <w:bCs/>
          <w:sz w:val="20"/>
        </w:rPr>
        <w:t xml:space="preserve"> inhibition by the method of additive modernization of preservation solutions, that adapted to the manufacture process on day 35 of the study is shown in Fig.1.</w:t>
      </w:r>
    </w:p>
    <w:p w:rsidR="002B6D7E" w:rsidRPr="00EA1F7B" w:rsidRDefault="002B6D7E" w:rsidP="00D06D8D">
      <w:pPr>
        <w:ind w:right="-808"/>
        <w:rPr>
          <w:rFonts w:ascii="Arial" w:hAnsi="Arial" w:cs="Arial"/>
          <w:b/>
          <w:bCs/>
          <w:sz w:val="20"/>
        </w:rPr>
      </w:pPr>
      <w:r w:rsidRPr="00CC5488">
        <w:rPr>
          <w:rFonts w:ascii="Arial" w:hAnsi="Arial" w:cs="Arial"/>
          <w:b/>
          <w:bCs/>
          <w:noProof/>
          <w:sz w:val="20"/>
        </w:rPr>
        <w:drawing>
          <wp:inline distT="0" distB="0" distL="0" distR="0" wp14:anchorId="313EC2F2">
            <wp:extent cx="2868392" cy="2202873"/>
            <wp:effectExtent l="0" t="0" r="190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5692" t="7146" r="4866"/>
                    <a:stretch/>
                  </pic:blipFill>
                  <pic:spPr bwMode="auto">
                    <a:xfrm>
                      <a:off x="0" y="0"/>
                      <a:ext cx="2889063" cy="2218748"/>
                    </a:xfrm>
                    <a:prstGeom prst="rect">
                      <a:avLst/>
                    </a:prstGeom>
                    <a:ln>
                      <a:noFill/>
                    </a:ln>
                    <a:extLst>
                      <a:ext uri="{53640926-AAD7-44D8-BBD7-CCE9431645EC}">
                        <a14:shadowObscured xmlns:a14="http://schemas.microsoft.com/office/drawing/2010/main"/>
                      </a:ext>
                    </a:extLst>
                  </pic:spPr>
                </pic:pic>
              </a:graphicData>
            </a:graphic>
          </wp:inline>
        </w:drawing>
      </w:r>
      <w:r w:rsidRPr="00CC5488">
        <w:rPr>
          <w:rFonts w:ascii="Arial" w:hAnsi="Arial" w:cs="Arial"/>
          <w:bCs/>
          <w:sz w:val="20"/>
        </w:rPr>
        <w:t xml:space="preserve"> </w:t>
      </w:r>
    </w:p>
    <w:p w:rsidR="007E5D50" w:rsidRPr="00EA1F7B" w:rsidRDefault="002B6D7E" w:rsidP="00D06D8D">
      <w:pPr>
        <w:ind w:left="-142" w:right="-791"/>
        <w:jc w:val="both"/>
        <w:rPr>
          <w:b/>
          <w:sz w:val="20"/>
        </w:rPr>
      </w:pPr>
      <w:r w:rsidRPr="00EA1F7B">
        <w:rPr>
          <w:bCs/>
          <w:sz w:val="20"/>
        </w:rPr>
        <w:t>Fig.1. The hemolysis inhibition effect with using method of additive modernization of preservative solutions adapted to the manufacture process on day 35 of the study.</w:t>
      </w:r>
    </w:p>
    <w:p w:rsidR="002B6D7E" w:rsidRPr="00EA1F7B" w:rsidRDefault="002B6D7E" w:rsidP="00D06D8D">
      <w:pPr>
        <w:ind w:left="-142" w:right="-791"/>
        <w:jc w:val="both"/>
        <w:rPr>
          <w:b/>
          <w:sz w:val="20"/>
        </w:rPr>
      </w:pPr>
    </w:p>
    <w:p w:rsidR="00594071" w:rsidRPr="00EA1F7B" w:rsidRDefault="00EA1F7B" w:rsidP="00D06D8D">
      <w:pPr>
        <w:tabs>
          <w:tab w:val="left" w:pos="284"/>
        </w:tabs>
        <w:ind w:left="-142" w:right="-791"/>
        <w:jc w:val="both"/>
        <w:rPr>
          <w:b/>
          <w:sz w:val="20"/>
          <w:lang w:val="en-GB"/>
        </w:rPr>
      </w:pPr>
      <w:proofErr w:type="spellStart"/>
      <w:r w:rsidRPr="00EA1F7B">
        <w:rPr>
          <w:b/>
          <w:sz w:val="20"/>
          <w:lang w:val="en-GB"/>
        </w:rPr>
        <w:t>Referens</w:t>
      </w:r>
      <w:proofErr w:type="spellEnd"/>
      <w:r w:rsidR="002B6D7E" w:rsidRPr="00EA1F7B">
        <w:rPr>
          <w:b/>
          <w:sz w:val="20"/>
          <w:lang w:val="en-GB"/>
        </w:rPr>
        <w:t>:</w:t>
      </w:r>
    </w:p>
    <w:p w:rsidR="002B6D7E" w:rsidRPr="00EA1F7B" w:rsidRDefault="002B6D7E" w:rsidP="00D06D8D">
      <w:pPr>
        <w:tabs>
          <w:tab w:val="left" w:pos="284"/>
        </w:tabs>
        <w:ind w:left="-142" w:right="-791"/>
        <w:jc w:val="both"/>
        <w:rPr>
          <w:sz w:val="20"/>
        </w:rPr>
      </w:pPr>
      <w:r w:rsidRPr="00EA1F7B">
        <w:rPr>
          <w:sz w:val="20"/>
        </w:rPr>
        <w:t>[1]. Hess JR. An update on solutions for red cell storage. Vox Sang. 2006; 91 :13–9. [ PubMed ]</w:t>
      </w:r>
    </w:p>
    <w:p w:rsidR="002B6D7E" w:rsidRPr="00EA1F7B" w:rsidRDefault="002B6D7E" w:rsidP="00D06D8D">
      <w:pPr>
        <w:tabs>
          <w:tab w:val="left" w:pos="284"/>
        </w:tabs>
        <w:ind w:left="-142" w:right="-791"/>
        <w:jc w:val="both"/>
        <w:rPr>
          <w:sz w:val="20"/>
        </w:rPr>
      </w:pPr>
      <w:r w:rsidRPr="00EA1F7B">
        <w:rPr>
          <w:sz w:val="20"/>
        </w:rPr>
        <w:t xml:space="preserve">[2]. </w:t>
      </w:r>
      <w:proofErr w:type="spellStart"/>
      <w:r w:rsidRPr="00EA1F7B">
        <w:rPr>
          <w:sz w:val="20"/>
        </w:rPr>
        <w:t>Högman</w:t>
      </w:r>
      <w:proofErr w:type="spellEnd"/>
      <w:r w:rsidRPr="00EA1F7B">
        <w:rPr>
          <w:sz w:val="20"/>
        </w:rPr>
        <w:t xml:space="preserve"> CF, </w:t>
      </w:r>
      <w:proofErr w:type="spellStart"/>
      <w:r w:rsidRPr="00EA1F7B">
        <w:rPr>
          <w:sz w:val="20"/>
        </w:rPr>
        <w:t>Meryman</w:t>
      </w:r>
      <w:proofErr w:type="spellEnd"/>
      <w:r w:rsidRPr="00EA1F7B">
        <w:rPr>
          <w:sz w:val="20"/>
        </w:rPr>
        <w:t xml:space="preserve"> HT. Storage parameters affecting red blood cell survival and function after transfusion. </w:t>
      </w:r>
      <w:proofErr w:type="spellStart"/>
      <w:r w:rsidRPr="00EA1F7B">
        <w:rPr>
          <w:sz w:val="20"/>
        </w:rPr>
        <w:t>Transfus</w:t>
      </w:r>
      <w:proofErr w:type="spellEnd"/>
      <w:r w:rsidRPr="00EA1F7B">
        <w:rPr>
          <w:sz w:val="20"/>
        </w:rPr>
        <w:t xml:space="preserve"> Med Rev. 1999; 13 :275–96. [ PubMed ]</w:t>
      </w:r>
    </w:p>
    <w:p w:rsidR="002B6D7E" w:rsidRPr="00EA1F7B" w:rsidRDefault="002B6D7E" w:rsidP="00D06D8D">
      <w:pPr>
        <w:tabs>
          <w:tab w:val="left" w:pos="284"/>
        </w:tabs>
        <w:ind w:left="-142" w:right="-791"/>
        <w:jc w:val="both"/>
        <w:rPr>
          <w:sz w:val="20"/>
        </w:rPr>
      </w:pPr>
      <w:r w:rsidRPr="00EA1F7B">
        <w:rPr>
          <w:sz w:val="20"/>
        </w:rPr>
        <w:t xml:space="preserve">[3]. Hess JR. Red cell changes during storage. </w:t>
      </w:r>
      <w:proofErr w:type="spellStart"/>
      <w:r w:rsidRPr="00EA1F7B">
        <w:rPr>
          <w:sz w:val="20"/>
        </w:rPr>
        <w:t>Transfus</w:t>
      </w:r>
      <w:proofErr w:type="spellEnd"/>
      <w:r w:rsidRPr="00EA1F7B">
        <w:rPr>
          <w:sz w:val="20"/>
        </w:rPr>
        <w:t xml:space="preserve"> </w:t>
      </w:r>
      <w:proofErr w:type="spellStart"/>
      <w:r w:rsidRPr="00EA1F7B">
        <w:rPr>
          <w:sz w:val="20"/>
        </w:rPr>
        <w:t>Apher</w:t>
      </w:r>
      <w:proofErr w:type="spellEnd"/>
      <w:r w:rsidRPr="00EA1F7B">
        <w:rPr>
          <w:sz w:val="20"/>
        </w:rPr>
        <w:t xml:space="preserve"> Sci. 2010; 43 :51–9. [ PubMed ]</w:t>
      </w:r>
    </w:p>
    <w:p w:rsidR="002B6D7E" w:rsidRPr="00EA1F7B" w:rsidRDefault="002B6D7E" w:rsidP="00D06D8D">
      <w:pPr>
        <w:tabs>
          <w:tab w:val="left" w:pos="284"/>
        </w:tabs>
        <w:ind w:left="-142" w:right="-791"/>
        <w:jc w:val="both"/>
        <w:rPr>
          <w:sz w:val="20"/>
        </w:rPr>
      </w:pPr>
      <w:r w:rsidRPr="00EA1F7B">
        <w:rPr>
          <w:sz w:val="20"/>
        </w:rPr>
        <w:t xml:space="preserve">[4]. </w:t>
      </w:r>
      <w:proofErr w:type="spellStart"/>
      <w:r w:rsidRPr="00EA1F7B">
        <w:rPr>
          <w:sz w:val="20"/>
        </w:rPr>
        <w:t>Zimrin</w:t>
      </w:r>
      <w:proofErr w:type="spellEnd"/>
      <w:r w:rsidRPr="00EA1F7B">
        <w:rPr>
          <w:sz w:val="20"/>
        </w:rPr>
        <w:t xml:space="preserve"> AB, Hess JR. Current issues relating to the transfusion of stored red blood cells. Vox Sang. 2009;96 :93–103. [ PubMed ]</w:t>
      </w:r>
    </w:p>
    <w:p w:rsidR="007E5D50" w:rsidRPr="002B6D7E" w:rsidRDefault="007E5D50" w:rsidP="00D06D8D">
      <w:pPr>
        <w:tabs>
          <w:tab w:val="left" w:pos="284"/>
        </w:tabs>
        <w:ind w:left="-142" w:right="-791"/>
        <w:jc w:val="both"/>
        <w:rPr>
          <w:rFonts w:ascii="Arial" w:hAnsi="Arial" w:cs="Arial"/>
          <w:sz w:val="20"/>
        </w:rPr>
      </w:pPr>
    </w:p>
    <w:p w:rsidR="007E5D50" w:rsidRPr="00EA1F7B" w:rsidRDefault="00EA1F7B" w:rsidP="00D06D8D">
      <w:pPr>
        <w:ind w:left="-142" w:right="-791"/>
        <w:jc w:val="both"/>
        <w:rPr>
          <w:b/>
          <w:sz w:val="20"/>
          <w:lang w:eastAsia="ru-RU"/>
        </w:rPr>
      </w:pPr>
      <w:r w:rsidRPr="00EA1F7B">
        <w:rPr>
          <w:b/>
          <w:sz w:val="20"/>
          <w:lang w:eastAsia="ru-RU"/>
        </w:rPr>
        <w:t>Biography</w:t>
      </w:r>
      <w:r>
        <w:rPr>
          <w:b/>
          <w:sz w:val="20"/>
          <w:lang w:eastAsia="ru-RU"/>
        </w:rPr>
        <w:t xml:space="preserve">. </w:t>
      </w:r>
      <w:r w:rsidRPr="00EA1F7B">
        <w:rPr>
          <w:sz w:val="20"/>
          <w:lang w:val="en-GB"/>
        </w:rPr>
        <w:t xml:space="preserve">Andrey </w:t>
      </w:r>
      <w:proofErr w:type="spellStart"/>
      <w:r w:rsidRPr="00EA1F7B">
        <w:rPr>
          <w:sz w:val="20"/>
          <w:lang w:val="en-GB"/>
        </w:rPr>
        <w:t>Nikolaevych</w:t>
      </w:r>
      <w:proofErr w:type="spellEnd"/>
      <w:r w:rsidRPr="00EA1F7B">
        <w:rPr>
          <w:sz w:val="20"/>
          <w:lang w:val="en-GB"/>
        </w:rPr>
        <w:t xml:space="preserve"> Belousov is DM, Professor</w:t>
      </w:r>
      <w:r w:rsidR="00D06D8D">
        <w:rPr>
          <w:sz w:val="20"/>
          <w:lang w:val="en-GB"/>
        </w:rPr>
        <w:t xml:space="preserve"> of </w:t>
      </w:r>
      <w:r w:rsidR="00D06D8D" w:rsidRPr="00EA1F7B">
        <w:rPr>
          <w:sz w:val="20"/>
          <w:lang w:val="en-GB"/>
        </w:rPr>
        <w:t>Kharkov Medical Academy of Postgraduate Education</w:t>
      </w:r>
      <w:r w:rsidR="00D06D8D">
        <w:rPr>
          <w:sz w:val="20"/>
          <w:lang w:val="en-GB"/>
        </w:rPr>
        <w:t>,</w:t>
      </w:r>
      <w:r w:rsidR="00D06D8D" w:rsidRPr="00EA1F7B">
        <w:rPr>
          <w:sz w:val="20"/>
          <w:lang w:val="en-GB"/>
        </w:rPr>
        <w:t xml:space="preserve"> Head of Laboratory Applied Nanotechnologies</w:t>
      </w:r>
      <w:r w:rsidR="00D06D8D">
        <w:rPr>
          <w:sz w:val="20"/>
          <w:lang w:val="en-GB"/>
        </w:rPr>
        <w:t xml:space="preserve"> of Belousov.</w:t>
      </w:r>
      <w:r w:rsidR="00D06D8D">
        <w:rPr>
          <w:b/>
          <w:sz w:val="20"/>
          <w:lang w:eastAsia="ru-RU"/>
        </w:rPr>
        <w:t xml:space="preserve"> </w:t>
      </w:r>
      <w:r w:rsidRPr="00EA1F7B">
        <w:rPr>
          <w:sz w:val="20"/>
          <w:lang w:val="en-GB"/>
        </w:rPr>
        <w:t>Author a new medicine products – nanotechnology preparations based on magnetite nanoparticles (Fe</w:t>
      </w:r>
      <w:r w:rsidRPr="00EA1F7B">
        <w:rPr>
          <w:sz w:val="20"/>
          <w:vertAlign w:val="subscript"/>
          <w:lang w:val="en-GB"/>
        </w:rPr>
        <w:t>3</w:t>
      </w:r>
      <w:r w:rsidRPr="00EA1F7B">
        <w:rPr>
          <w:sz w:val="20"/>
          <w:lang w:val="en-GB"/>
        </w:rPr>
        <w:t>O</w:t>
      </w:r>
      <w:r w:rsidRPr="00EA1F7B">
        <w:rPr>
          <w:sz w:val="20"/>
          <w:vertAlign w:val="subscript"/>
          <w:lang w:val="en-GB"/>
        </w:rPr>
        <w:t>4</w:t>
      </w:r>
      <w:r w:rsidRPr="00EA1F7B">
        <w:rPr>
          <w:sz w:val="20"/>
          <w:lang w:val="en-GB"/>
        </w:rPr>
        <w:t>). The published more 2</w:t>
      </w:r>
      <w:r w:rsidR="00D06D8D">
        <w:rPr>
          <w:sz w:val="20"/>
          <w:lang w:val="en-GB"/>
        </w:rPr>
        <w:t>3</w:t>
      </w:r>
      <w:r w:rsidRPr="00EA1F7B">
        <w:rPr>
          <w:sz w:val="20"/>
          <w:lang w:val="en-GB"/>
        </w:rPr>
        <w:t xml:space="preserve">0 scientific works. </w:t>
      </w:r>
    </w:p>
    <w:p w:rsidR="00D06D8D" w:rsidRDefault="00D06D8D" w:rsidP="00D06D8D">
      <w:pPr>
        <w:tabs>
          <w:tab w:val="left" w:pos="284"/>
        </w:tabs>
        <w:ind w:left="-142" w:right="-791"/>
        <w:jc w:val="both"/>
        <w:rPr>
          <w:sz w:val="20"/>
          <w:lang w:val="en-GB"/>
        </w:rPr>
      </w:pPr>
    </w:p>
    <w:p w:rsidR="00D06D8D" w:rsidRPr="00D06D8D" w:rsidRDefault="00D06D8D" w:rsidP="00D06D8D">
      <w:pPr>
        <w:tabs>
          <w:tab w:val="left" w:pos="284"/>
        </w:tabs>
        <w:ind w:left="-142" w:right="-791"/>
        <w:jc w:val="both"/>
        <w:rPr>
          <w:sz w:val="20"/>
          <w:lang w:val="en-GB"/>
        </w:rPr>
      </w:pPr>
      <w:r w:rsidRPr="00D06D8D">
        <w:rPr>
          <w:sz w:val="20"/>
          <w:lang w:val="en-GB"/>
        </w:rPr>
        <w:t>Full Name:</w:t>
      </w:r>
      <w:r w:rsidR="00B072FF">
        <w:rPr>
          <w:sz w:val="20"/>
          <w:lang w:val="en-GB"/>
        </w:rPr>
        <w:t xml:space="preserve"> Andrey Belousov</w:t>
      </w:r>
    </w:p>
    <w:p w:rsidR="00D06D8D" w:rsidRDefault="00D06D8D" w:rsidP="00D06D8D">
      <w:pPr>
        <w:tabs>
          <w:tab w:val="left" w:pos="284"/>
        </w:tabs>
        <w:ind w:left="-142" w:right="-791"/>
        <w:jc w:val="both"/>
        <w:rPr>
          <w:sz w:val="20"/>
          <w:lang w:val="en-GB"/>
        </w:rPr>
      </w:pPr>
      <w:r w:rsidRPr="00D06D8D">
        <w:rPr>
          <w:sz w:val="20"/>
          <w:lang w:val="en-GB"/>
        </w:rPr>
        <w:t>Contact number:</w:t>
      </w:r>
      <w:r w:rsidR="00B072FF">
        <w:rPr>
          <w:sz w:val="20"/>
          <w:lang w:val="en-GB"/>
        </w:rPr>
        <w:t xml:space="preserve"> +380-50-915-18-89</w:t>
      </w:r>
    </w:p>
    <w:p w:rsidR="00B072FF" w:rsidRPr="00D06D8D" w:rsidRDefault="00B072FF" w:rsidP="00D06D8D">
      <w:pPr>
        <w:tabs>
          <w:tab w:val="left" w:pos="284"/>
        </w:tabs>
        <w:ind w:left="-142" w:right="-791"/>
        <w:jc w:val="both"/>
        <w:rPr>
          <w:sz w:val="20"/>
          <w:lang w:val="en-GB"/>
        </w:rPr>
      </w:pPr>
      <w:r>
        <w:rPr>
          <w:sz w:val="20"/>
          <w:lang w:val="en-GB"/>
        </w:rPr>
        <w:t>Web site: www.nanolab.com.ua</w:t>
      </w:r>
    </w:p>
    <w:p w:rsidR="00D06D8D" w:rsidRPr="00D06D8D" w:rsidRDefault="00D06D8D" w:rsidP="00D06D8D">
      <w:pPr>
        <w:tabs>
          <w:tab w:val="left" w:pos="284"/>
        </w:tabs>
        <w:ind w:left="-142" w:right="-791"/>
        <w:jc w:val="both"/>
        <w:rPr>
          <w:sz w:val="20"/>
          <w:lang w:val="en-GB"/>
        </w:rPr>
      </w:pPr>
      <w:r w:rsidRPr="00D06D8D">
        <w:rPr>
          <w:sz w:val="20"/>
          <w:lang w:val="en-GB"/>
        </w:rPr>
        <w:t>Linked In account:</w:t>
      </w:r>
      <w:r w:rsidR="00B072FF">
        <w:rPr>
          <w:sz w:val="20"/>
          <w:lang w:val="en-GB"/>
        </w:rPr>
        <w:t xml:space="preserve"> </w:t>
      </w:r>
      <w:hyperlink r:id="rId12" w:history="1">
        <w:r w:rsidR="00B072FF" w:rsidRPr="007A0905">
          <w:rPr>
            <w:rStyle w:val="a6"/>
            <w:lang w:val="en-NZ"/>
          </w:rPr>
          <w:t>https://www.linke</w:t>
        </w:r>
        <w:r w:rsidR="00B072FF" w:rsidRPr="007A0905">
          <w:rPr>
            <w:rStyle w:val="a6"/>
            <w:lang w:val="en-NZ"/>
          </w:rPr>
          <w:t>d</w:t>
        </w:r>
        <w:r w:rsidR="00B072FF" w:rsidRPr="007A0905">
          <w:rPr>
            <w:rStyle w:val="a6"/>
            <w:lang w:val="en-NZ"/>
          </w:rPr>
          <w:t>in.com/feed/</w:t>
        </w:r>
      </w:hyperlink>
    </w:p>
    <w:p w:rsidR="00D06D8D" w:rsidRPr="00D06D8D" w:rsidRDefault="00D06D8D" w:rsidP="00D06D8D">
      <w:pPr>
        <w:tabs>
          <w:tab w:val="left" w:pos="284"/>
        </w:tabs>
        <w:ind w:left="-142" w:right="-791"/>
        <w:jc w:val="both"/>
        <w:rPr>
          <w:sz w:val="20"/>
          <w:lang w:val="en-GB"/>
        </w:rPr>
      </w:pPr>
      <w:r w:rsidRPr="00D06D8D">
        <w:rPr>
          <w:sz w:val="20"/>
          <w:lang w:val="en-GB"/>
        </w:rPr>
        <w:t>Session name:</w:t>
      </w:r>
      <w:r w:rsidR="00B072FF">
        <w:rPr>
          <w:sz w:val="20"/>
          <w:lang w:val="en-GB"/>
        </w:rPr>
        <w:t xml:space="preserve"> Nanomedicine</w:t>
      </w:r>
    </w:p>
    <w:p w:rsidR="00B072FF" w:rsidRDefault="00D06D8D" w:rsidP="00D06D8D">
      <w:pPr>
        <w:tabs>
          <w:tab w:val="left" w:pos="284"/>
        </w:tabs>
        <w:ind w:left="-142" w:right="-791"/>
        <w:jc w:val="both"/>
        <w:rPr>
          <w:sz w:val="20"/>
          <w:lang w:val="en-GB"/>
        </w:rPr>
      </w:pPr>
      <w:r w:rsidRPr="00D06D8D">
        <w:rPr>
          <w:sz w:val="20"/>
          <w:lang w:val="en-GB"/>
        </w:rPr>
        <w:t>Category: Oral presentation</w:t>
      </w:r>
    </w:p>
    <w:p w:rsidR="007E5D50" w:rsidRPr="00B072FF" w:rsidRDefault="00B072FF" w:rsidP="00D06D8D">
      <w:pPr>
        <w:tabs>
          <w:tab w:val="left" w:pos="284"/>
        </w:tabs>
        <w:ind w:left="-142" w:right="-791"/>
        <w:jc w:val="both"/>
        <w:rPr>
          <w:sz w:val="20"/>
        </w:rPr>
      </w:pPr>
      <w:r>
        <w:rPr>
          <w:noProof/>
        </w:rPr>
        <w:drawing>
          <wp:anchor distT="0" distB="0" distL="114300" distR="114300" simplePos="0" relativeHeight="251659264" behindDoc="1" locked="0" layoutInCell="1" allowOverlap="1" wp14:anchorId="073A0C8F" wp14:editId="590081EB">
            <wp:simplePos x="0" y="0"/>
            <wp:positionH relativeFrom="column">
              <wp:posOffset>2163270</wp:posOffset>
            </wp:positionH>
            <wp:positionV relativeFrom="paragraph">
              <wp:posOffset>135759</wp:posOffset>
            </wp:positionV>
            <wp:extent cx="1036232" cy="1118797"/>
            <wp:effectExtent l="0" t="0" r="5715" b="0"/>
            <wp:wrapNone/>
            <wp:docPr id="2" name="Рисунок 5" descr="Belous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Belousov"/>
                    <pic:cNvPicPr>
                      <a:picLocks/>
                    </pic:cNvPicPr>
                  </pic:nvPicPr>
                  <pic:blipFill>
                    <a:blip r:embed="rId13" cstate="print">
                      <a:extLst>
                        <a:ext uri="{28A0092B-C50C-407E-A947-70E740481C1C}">
                          <a14:useLocalDpi xmlns:a14="http://schemas.microsoft.com/office/drawing/2010/main" val="0"/>
                        </a:ext>
                      </a:extLst>
                    </a:blip>
                    <a:srcRect l="13597" t="17091" r="53928" b="18524"/>
                    <a:stretch>
                      <a:fillRect/>
                    </a:stretch>
                  </pic:blipFill>
                  <pic:spPr bwMode="auto">
                    <a:xfrm>
                      <a:off x="0" y="0"/>
                      <a:ext cx="1057356" cy="11416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6D8D" w:rsidRPr="00D06D8D">
        <w:rPr>
          <w:sz w:val="20"/>
          <w:lang w:val="en-GB"/>
        </w:rPr>
        <w:t>Passport Number:</w:t>
      </w:r>
      <w:r>
        <w:rPr>
          <w:sz w:val="20"/>
          <w:lang w:val="en-GB"/>
        </w:rPr>
        <w:t xml:space="preserve"> FK989434</w:t>
      </w:r>
      <w:bookmarkStart w:id="1" w:name="_GoBack"/>
      <w:bookmarkEnd w:id="1"/>
    </w:p>
    <w:sectPr w:rsidR="007E5D50" w:rsidRPr="00B072FF" w:rsidSect="00D06D8D">
      <w:type w:val="continuous"/>
      <w:pgSz w:w="11907" w:h="16840" w:code="9"/>
      <w:pgMar w:top="1418" w:right="1246" w:bottom="1418" w:left="989" w:header="720" w:footer="720" w:gutter="0"/>
      <w:cols w:num="2"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D08" w:rsidRDefault="00DF7D08">
      <w:r>
        <w:separator/>
      </w:r>
    </w:p>
  </w:endnote>
  <w:endnote w:type="continuationSeparator" w:id="0">
    <w:p w:rsidR="00DF7D08" w:rsidRDefault="00DF7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6A4" w:rsidRDefault="00CE76A4">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C49" w:rsidRDefault="00E0033D">
    <w:pPr>
      <w:pStyle w:val="a3"/>
    </w:pPr>
    <w:r>
      <w:rPr>
        <w:noProof/>
        <w:sz w:val="24"/>
        <w:szCs w:val="24"/>
      </w:rPr>
      <w:drawing>
        <wp:anchor distT="0" distB="0" distL="114300" distR="114300" simplePos="0" relativeHeight="251670016" behindDoc="0" locked="0" layoutInCell="1" allowOverlap="1">
          <wp:simplePos x="0" y="0"/>
          <wp:positionH relativeFrom="column">
            <wp:posOffset>-572770</wp:posOffset>
          </wp:positionH>
          <wp:positionV relativeFrom="paragraph">
            <wp:posOffset>10254615</wp:posOffset>
          </wp:positionV>
          <wp:extent cx="9556750" cy="190500"/>
          <wp:effectExtent l="0" t="0" r="0" b="0"/>
          <wp:wrapNone/>
          <wp:docPr id="14" name="Bild 14" descr="Leiste 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eiste 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6750" cy="19050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67968" behindDoc="0" locked="0" layoutInCell="1" allowOverlap="1">
          <wp:simplePos x="0" y="0"/>
          <wp:positionH relativeFrom="column">
            <wp:posOffset>-142875</wp:posOffset>
          </wp:positionH>
          <wp:positionV relativeFrom="paragraph">
            <wp:posOffset>10436225</wp:posOffset>
          </wp:positionV>
          <wp:extent cx="9556750" cy="190500"/>
          <wp:effectExtent l="0" t="0" r="0" b="0"/>
          <wp:wrapNone/>
          <wp:docPr id="8" name="Bild 8" descr="Leiste 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iste 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6750" cy="19050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63872" behindDoc="0" locked="0" layoutInCell="1" allowOverlap="1">
          <wp:simplePos x="0" y="0"/>
          <wp:positionH relativeFrom="column">
            <wp:posOffset>-142875</wp:posOffset>
          </wp:positionH>
          <wp:positionV relativeFrom="paragraph">
            <wp:posOffset>10436225</wp:posOffset>
          </wp:positionV>
          <wp:extent cx="9556750" cy="190500"/>
          <wp:effectExtent l="0" t="0" r="0" b="0"/>
          <wp:wrapNone/>
          <wp:docPr id="6" name="Bild 6" descr="Leiste 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iste 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6750" cy="19050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rPr>
      <w:drawing>
        <wp:anchor distT="0" distB="0" distL="114300" distR="114300" simplePos="0" relativeHeight="251665920" behindDoc="0" locked="0" layoutInCell="1" allowOverlap="1">
          <wp:simplePos x="0" y="0"/>
          <wp:positionH relativeFrom="column">
            <wp:posOffset>-142875</wp:posOffset>
          </wp:positionH>
          <wp:positionV relativeFrom="paragraph">
            <wp:posOffset>10436225</wp:posOffset>
          </wp:positionV>
          <wp:extent cx="9556750" cy="190500"/>
          <wp:effectExtent l="0" t="0" r="0" b="0"/>
          <wp:wrapNone/>
          <wp:docPr id="7" name="Bild 7" descr="Leiste 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iste 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6750" cy="1905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D08" w:rsidRDefault="00DF7D08">
      <w:r>
        <w:separator/>
      </w:r>
    </w:p>
  </w:footnote>
  <w:footnote w:type="continuationSeparator" w:id="0">
    <w:p w:rsidR="00DF7D08" w:rsidRDefault="00DF7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76A4" w:rsidRDefault="00CE76A4">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717CA"/>
    <w:multiLevelType w:val="hybridMultilevel"/>
    <w:tmpl w:val="39387E30"/>
    <w:lvl w:ilvl="0" w:tplc="7F68214E">
      <w:start w:val="1"/>
      <w:numFmt w:val="decimal"/>
      <w:lvlText w:val="%1."/>
      <w:lvlJc w:val="left"/>
      <w:pPr>
        <w:tabs>
          <w:tab w:val="num" w:pos="405"/>
        </w:tabs>
        <w:ind w:left="405" w:hanging="360"/>
      </w:pPr>
      <w:rPr>
        <w:rFonts w:hint="default"/>
        <w:b/>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 w15:restartNumberingAfterBreak="0">
    <w:nsid w:val="25684CF4"/>
    <w:multiLevelType w:val="hybridMultilevel"/>
    <w:tmpl w:val="50C4DCE0"/>
    <w:lvl w:ilvl="0" w:tplc="E5E8A56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6A4263"/>
    <w:multiLevelType w:val="hybridMultilevel"/>
    <w:tmpl w:val="F6A6D478"/>
    <w:lvl w:ilvl="0" w:tplc="10781D64">
      <w:start w:val="10"/>
      <w:numFmt w:val="bullet"/>
      <w:lvlText w:val=""/>
      <w:lvlJc w:val="left"/>
      <w:pPr>
        <w:ind w:left="3960" w:hanging="360"/>
      </w:pPr>
      <w:rPr>
        <w:rFonts w:ascii="Symbol" w:eastAsia="Times New Roman" w:hAnsi="Symbol" w:cs="Times New Roman" w:hint="default"/>
      </w:rPr>
    </w:lvl>
    <w:lvl w:ilvl="1" w:tplc="040C0003" w:tentative="1">
      <w:start w:val="1"/>
      <w:numFmt w:val="bullet"/>
      <w:lvlText w:val="o"/>
      <w:lvlJc w:val="left"/>
      <w:pPr>
        <w:ind w:left="4680" w:hanging="360"/>
      </w:pPr>
      <w:rPr>
        <w:rFonts w:ascii="Courier New" w:hAnsi="Courier New" w:cs="Courier New" w:hint="default"/>
      </w:rPr>
    </w:lvl>
    <w:lvl w:ilvl="2" w:tplc="040C0005" w:tentative="1">
      <w:start w:val="1"/>
      <w:numFmt w:val="bullet"/>
      <w:lvlText w:val=""/>
      <w:lvlJc w:val="left"/>
      <w:pPr>
        <w:ind w:left="5400" w:hanging="360"/>
      </w:pPr>
      <w:rPr>
        <w:rFonts w:ascii="Wingdings" w:hAnsi="Wingdings" w:hint="default"/>
      </w:rPr>
    </w:lvl>
    <w:lvl w:ilvl="3" w:tplc="040C0001" w:tentative="1">
      <w:start w:val="1"/>
      <w:numFmt w:val="bullet"/>
      <w:lvlText w:val=""/>
      <w:lvlJc w:val="left"/>
      <w:pPr>
        <w:ind w:left="6120" w:hanging="360"/>
      </w:pPr>
      <w:rPr>
        <w:rFonts w:ascii="Symbol" w:hAnsi="Symbol" w:hint="default"/>
      </w:rPr>
    </w:lvl>
    <w:lvl w:ilvl="4" w:tplc="040C0003" w:tentative="1">
      <w:start w:val="1"/>
      <w:numFmt w:val="bullet"/>
      <w:lvlText w:val="o"/>
      <w:lvlJc w:val="left"/>
      <w:pPr>
        <w:ind w:left="6840" w:hanging="360"/>
      </w:pPr>
      <w:rPr>
        <w:rFonts w:ascii="Courier New" w:hAnsi="Courier New" w:cs="Courier New" w:hint="default"/>
      </w:rPr>
    </w:lvl>
    <w:lvl w:ilvl="5" w:tplc="040C0005" w:tentative="1">
      <w:start w:val="1"/>
      <w:numFmt w:val="bullet"/>
      <w:lvlText w:val=""/>
      <w:lvlJc w:val="left"/>
      <w:pPr>
        <w:ind w:left="7560" w:hanging="360"/>
      </w:pPr>
      <w:rPr>
        <w:rFonts w:ascii="Wingdings" w:hAnsi="Wingdings" w:hint="default"/>
      </w:rPr>
    </w:lvl>
    <w:lvl w:ilvl="6" w:tplc="040C0001" w:tentative="1">
      <w:start w:val="1"/>
      <w:numFmt w:val="bullet"/>
      <w:lvlText w:val=""/>
      <w:lvlJc w:val="left"/>
      <w:pPr>
        <w:ind w:left="8280" w:hanging="360"/>
      </w:pPr>
      <w:rPr>
        <w:rFonts w:ascii="Symbol" w:hAnsi="Symbol" w:hint="default"/>
      </w:rPr>
    </w:lvl>
    <w:lvl w:ilvl="7" w:tplc="040C0003" w:tentative="1">
      <w:start w:val="1"/>
      <w:numFmt w:val="bullet"/>
      <w:lvlText w:val="o"/>
      <w:lvlJc w:val="left"/>
      <w:pPr>
        <w:ind w:left="9000" w:hanging="360"/>
      </w:pPr>
      <w:rPr>
        <w:rFonts w:ascii="Courier New" w:hAnsi="Courier New" w:cs="Courier New" w:hint="default"/>
      </w:rPr>
    </w:lvl>
    <w:lvl w:ilvl="8" w:tplc="040C0005" w:tentative="1">
      <w:start w:val="1"/>
      <w:numFmt w:val="bullet"/>
      <w:lvlText w:val=""/>
      <w:lvlJc w:val="left"/>
      <w:pPr>
        <w:ind w:left="9720" w:hanging="360"/>
      </w:pPr>
      <w:rPr>
        <w:rFonts w:ascii="Wingdings" w:hAnsi="Wingdings" w:hint="default"/>
      </w:rPr>
    </w:lvl>
  </w:abstractNum>
  <w:abstractNum w:abstractNumId="3" w15:restartNumberingAfterBreak="0">
    <w:nsid w:val="445C45E1"/>
    <w:multiLevelType w:val="hybridMultilevel"/>
    <w:tmpl w:val="EDAC9CC6"/>
    <w:lvl w:ilvl="0" w:tplc="01D23C24">
      <w:start w:val="1"/>
      <w:numFmt w:val="upperLetter"/>
      <w:lvlText w:val="%1."/>
      <w:lvlJc w:val="left"/>
      <w:pPr>
        <w:ind w:left="720" w:hanging="360"/>
      </w:pPr>
      <w:rPr>
        <w:rFonts w:ascii="Arial" w:eastAsia="Times New Roman" w:hAnsi="Arial" w:cs="Ari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0301E4"/>
    <w:multiLevelType w:val="hybridMultilevel"/>
    <w:tmpl w:val="B596E504"/>
    <w:lvl w:ilvl="0" w:tplc="B6FEB588">
      <w:start w:val="1"/>
      <w:numFmt w:val="decimal"/>
      <w:lvlText w:val="%1."/>
      <w:lvlJc w:val="left"/>
      <w:pPr>
        <w:tabs>
          <w:tab w:val="num" w:pos="180"/>
        </w:tabs>
        <w:ind w:left="180" w:hanging="360"/>
      </w:pPr>
      <w:rPr>
        <w:rFonts w:hint="default"/>
        <w:b/>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5" w15:restartNumberingAfterBreak="0">
    <w:nsid w:val="473D3668"/>
    <w:multiLevelType w:val="hybridMultilevel"/>
    <w:tmpl w:val="D00C1B84"/>
    <w:lvl w:ilvl="0" w:tplc="040C0001">
      <w:start w:val="10"/>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C5A4C1A"/>
    <w:multiLevelType w:val="hybridMultilevel"/>
    <w:tmpl w:val="FD9A863A"/>
    <w:lvl w:ilvl="0" w:tplc="F6363C32">
      <w:start w:val="1"/>
      <w:numFmt w:val="decimal"/>
      <w:lvlText w:val="%1."/>
      <w:lvlJc w:val="left"/>
      <w:pPr>
        <w:ind w:left="1080" w:hanging="360"/>
      </w:pPr>
      <w:rPr>
        <w:rFonts w:hint="default"/>
        <w:b w:val="0"/>
        <w:i w:val="0"/>
        <w:sz w:val="18"/>
        <w:szCs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4"/>
  </w:num>
  <w:num w:numId="3">
    <w:abstractNumId w:val="2"/>
  </w:num>
  <w:num w:numId="4">
    <w:abstractNumId w:val="5"/>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intFractionalCharacterWidth/>
  <w:embedSystemFonts/>
  <w:hideSpellingErrors/>
  <w:hideGrammaticalErrors/>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D97"/>
    <w:rsid w:val="00003017"/>
    <w:rsid w:val="00017616"/>
    <w:rsid w:val="000328C4"/>
    <w:rsid w:val="00032E8D"/>
    <w:rsid w:val="00043355"/>
    <w:rsid w:val="00044DBE"/>
    <w:rsid w:val="0004640D"/>
    <w:rsid w:val="0004756D"/>
    <w:rsid w:val="00050584"/>
    <w:rsid w:val="000579B4"/>
    <w:rsid w:val="00060FB6"/>
    <w:rsid w:val="00081885"/>
    <w:rsid w:val="0009646D"/>
    <w:rsid w:val="0009756C"/>
    <w:rsid w:val="000B0803"/>
    <w:rsid w:val="000B4152"/>
    <w:rsid w:val="000B4523"/>
    <w:rsid w:val="000C3BD5"/>
    <w:rsid w:val="000C4D97"/>
    <w:rsid w:val="000F438B"/>
    <w:rsid w:val="000F5044"/>
    <w:rsid w:val="000F5D51"/>
    <w:rsid w:val="0010071E"/>
    <w:rsid w:val="001010C6"/>
    <w:rsid w:val="00107DC4"/>
    <w:rsid w:val="001111EF"/>
    <w:rsid w:val="00135760"/>
    <w:rsid w:val="0014649E"/>
    <w:rsid w:val="00146BAE"/>
    <w:rsid w:val="00155775"/>
    <w:rsid w:val="001621DB"/>
    <w:rsid w:val="0016629F"/>
    <w:rsid w:val="0017358F"/>
    <w:rsid w:val="00184563"/>
    <w:rsid w:val="001911A5"/>
    <w:rsid w:val="001924FA"/>
    <w:rsid w:val="00195C4D"/>
    <w:rsid w:val="00197063"/>
    <w:rsid w:val="001B0A51"/>
    <w:rsid w:val="001C7696"/>
    <w:rsid w:val="001F2A34"/>
    <w:rsid w:val="00211F13"/>
    <w:rsid w:val="002209AA"/>
    <w:rsid w:val="002326ED"/>
    <w:rsid w:val="00236F7A"/>
    <w:rsid w:val="0024586B"/>
    <w:rsid w:val="00257B60"/>
    <w:rsid w:val="00267E2C"/>
    <w:rsid w:val="00272250"/>
    <w:rsid w:val="00273E5E"/>
    <w:rsid w:val="002A3422"/>
    <w:rsid w:val="002A4D7E"/>
    <w:rsid w:val="002A7451"/>
    <w:rsid w:val="002B6D7E"/>
    <w:rsid w:val="002C32AC"/>
    <w:rsid w:val="002D039C"/>
    <w:rsid w:val="002E1E66"/>
    <w:rsid w:val="002F473D"/>
    <w:rsid w:val="00300DAD"/>
    <w:rsid w:val="0030454A"/>
    <w:rsid w:val="00320E70"/>
    <w:rsid w:val="003345CA"/>
    <w:rsid w:val="003370E5"/>
    <w:rsid w:val="00356AA3"/>
    <w:rsid w:val="00365DCC"/>
    <w:rsid w:val="00370DF8"/>
    <w:rsid w:val="00380F24"/>
    <w:rsid w:val="003825BE"/>
    <w:rsid w:val="00391595"/>
    <w:rsid w:val="003B2880"/>
    <w:rsid w:val="003D2779"/>
    <w:rsid w:val="003E1645"/>
    <w:rsid w:val="003F223F"/>
    <w:rsid w:val="00410305"/>
    <w:rsid w:val="0042618D"/>
    <w:rsid w:val="004320F8"/>
    <w:rsid w:val="004410AA"/>
    <w:rsid w:val="00442C52"/>
    <w:rsid w:val="00450241"/>
    <w:rsid w:val="00456F69"/>
    <w:rsid w:val="00465EA0"/>
    <w:rsid w:val="004739EC"/>
    <w:rsid w:val="00496991"/>
    <w:rsid w:val="004975F0"/>
    <w:rsid w:val="004A1D6B"/>
    <w:rsid w:val="004C71D9"/>
    <w:rsid w:val="004D0D34"/>
    <w:rsid w:val="004D4378"/>
    <w:rsid w:val="004D5117"/>
    <w:rsid w:val="004F4111"/>
    <w:rsid w:val="004F781C"/>
    <w:rsid w:val="0051365B"/>
    <w:rsid w:val="005159B3"/>
    <w:rsid w:val="005227F3"/>
    <w:rsid w:val="00530499"/>
    <w:rsid w:val="005309F4"/>
    <w:rsid w:val="00535C27"/>
    <w:rsid w:val="005360D0"/>
    <w:rsid w:val="00542533"/>
    <w:rsid w:val="005453D2"/>
    <w:rsid w:val="00550E41"/>
    <w:rsid w:val="005575E1"/>
    <w:rsid w:val="00562B5C"/>
    <w:rsid w:val="0056482C"/>
    <w:rsid w:val="00564A15"/>
    <w:rsid w:val="00564B80"/>
    <w:rsid w:val="005655F2"/>
    <w:rsid w:val="00566AD5"/>
    <w:rsid w:val="005864C5"/>
    <w:rsid w:val="00594071"/>
    <w:rsid w:val="00596CB3"/>
    <w:rsid w:val="005A3008"/>
    <w:rsid w:val="005A3D22"/>
    <w:rsid w:val="005B3CB4"/>
    <w:rsid w:val="005C2930"/>
    <w:rsid w:val="005D0A81"/>
    <w:rsid w:val="005E1810"/>
    <w:rsid w:val="006047EC"/>
    <w:rsid w:val="00607003"/>
    <w:rsid w:val="00644874"/>
    <w:rsid w:val="006457B2"/>
    <w:rsid w:val="00647BDB"/>
    <w:rsid w:val="006609B0"/>
    <w:rsid w:val="00660C30"/>
    <w:rsid w:val="00661AD8"/>
    <w:rsid w:val="0066735D"/>
    <w:rsid w:val="00677797"/>
    <w:rsid w:val="00684EAA"/>
    <w:rsid w:val="00690321"/>
    <w:rsid w:val="00692AEB"/>
    <w:rsid w:val="006B0381"/>
    <w:rsid w:val="006B03FB"/>
    <w:rsid w:val="006C717C"/>
    <w:rsid w:val="006E5DA0"/>
    <w:rsid w:val="006F6C59"/>
    <w:rsid w:val="00705C3C"/>
    <w:rsid w:val="00714F65"/>
    <w:rsid w:val="00715C52"/>
    <w:rsid w:val="00743260"/>
    <w:rsid w:val="00771069"/>
    <w:rsid w:val="00781DEB"/>
    <w:rsid w:val="00786987"/>
    <w:rsid w:val="0079745A"/>
    <w:rsid w:val="007B09AB"/>
    <w:rsid w:val="007B317D"/>
    <w:rsid w:val="007D4409"/>
    <w:rsid w:val="007E0AA0"/>
    <w:rsid w:val="007E49F6"/>
    <w:rsid w:val="007E5D50"/>
    <w:rsid w:val="0080129E"/>
    <w:rsid w:val="00802230"/>
    <w:rsid w:val="0081417B"/>
    <w:rsid w:val="00816F8A"/>
    <w:rsid w:val="00817E51"/>
    <w:rsid w:val="0082071C"/>
    <w:rsid w:val="008342BA"/>
    <w:rsid w:val="00837CC9"/>
    <w:rsid w:val="008517B1"/>
    <w:rsid w:val="00864BEF"/>
    <w:rsid w:val="00872558"/>
    <w:rsid w:val="0088090E"/>
    <w:rsid w:val="008910BB"/>
    <w:rsid w:val="008A0A64"/>
    <w:rsid w:val="008B1B42"/>
    <w:rsid w:val="008C489E"/>
    <w:rsid w:val="008E1D97"/>
    <w:rsid w:val="008F42F6"/>
    <w:rsid w:val="009078FD"/>
    <w:rsid w:val="009355A8"/>
    <w:rsid w:val="00941207"/>
    <w:rsid w:val="00944A35"/>
    <w:rsid w:val="0094543D"/>
    <w:rsid w:val="009502C9"/>
    <w:rsid w:val="00952060"/>
    <w:rsid w:val="009538A9"/>
    <w:rsid w:val="009544A0"/>
    <w:rsid w:val="009611E7"/>
    <w:rsid w:val="00965031"/>
    <w:rsid w:val="00966675"/>
    <w:rsid w:val="009813A9"/>
    <w:rsid w:val="00982A6E"/>
    <w:rsid w:val="00985D65"/>
    <w:rsid w:val="009902AC"/>
    <w:rsid w:val="00990C40"/>
    <w:rsid w:val="009963C2"/>
    <w:rsid w:val="009B4C49"/>
    <w:rsid w:val="009C4D8C"/>
    <w:rsid w:val="009C69E5"/>
    <w:rsid w:val="009E102A"/>
    <w:rsid w:val="009E3801"/>
    <w:rsid w:val="009F557F"/>
    <w:rsid w:val="009F57EA"/>
    <w:rsid w:val="00A24F95"/>
    <w:rsid w:val="00A51BEB"/>
    <w:rsid w:val="00A532B0"/>
    <w:rsid w:val="00A56DA4"/>
    <w:rsid w:val="00A56F1D"/>
    <w:rsid w:val="00A577E7"/>
    <w:rsid w:val="00A80505"/>
    <w:rsid w:val="00A95F21"/>
    <w:rsid w:val="00A969FA"/>
    <w:rsid w:val="00AA3DF3"/>
    <w:rsid w:val="00AA4626"/>
    <w:rsid w:val="00AB19B9"/>
    <w:rsid w:val="00AC0044"/>
    <w:rsid w:val="00AC0DDE"/>
    <w:rsid w:val="00AD6CE4"/>
    <w:rsid w:val="00AF0A89"/>
    <w:rsid w:val="00AF1FF8"/>
    <w:rsid w:val="00B066C1"/>
    <w:rsid w:val="00B070AB"/>
    <w:rsid w:val="00B072FF"/>
    <w:rsid w:val="00B103FC"/>
    <w:rsid w:val="00B167C0"/>
    <w:rsid w:val="00B17D2C"/>
    <w:rsid w:val="00B2568D"/>
    <w:rsid w:val="00B4058A"/>
    <w:rsid w:val="00B50826"/>
    <w:rsid w:val="00B51723"/>
    <w:rsid w:val="00B7055D"/>
    <w:rsid w:val="00B822E3"/>
    <w:rsid w:val="00B86252"/>
    <w:rsid w:val="00B902B5"/>
    <w:rsid w:val="00B9512D"/>
    <w:rsid w:val="00B96926"/>
    <w:rsid w:val="00B97A72"/>
    <w:rsid w:val="00BA5501"/>
    <w:rsid w:val="00BB12E6"/>
    <w:rsid w:val="00BB6D02"/>
    <w:rsid w:val="00BC3DB6"/>
    <w:rsid w:val="00BE3296"/>
    <w:rsid w:val="00BE348A"/>
    <w:rsid w:val="00BE433C"/>
    <w:rsid w:val="00C018D8"/>
    <w:rsid w:val="00C0543D"/>
    <w:rsid w:val="00C2562C"/>
    <w:rsid w:val="00C26842"/>
    <w:rsid w:val="00C338A1"/>
    <w:rsid w:val="00C36B46"/>
    <w:rsid w:val="00C4281D"/>
    <w:rsid w:val="00C519A8"/>
    <w:rsid w:val="00C569EA"/>
    <w:rsid w:val="00C700D7"/>
    <w:rsid w:val="00C8412A"/>
    <w:rsid w:val="00CC0C9C"/>
    <w:rsid w:val="00CD3248"/>
    <w:rsid w:val="00CD6C17"/>
    <w:rsid w:val="00CE76A4"/>
    <w:rsid w:val="00CF1646"/>
    <w:rsid w:val="00CF3AF2"/>
    <w:rsid w:val="00D02B6E"/>
    <w:rsid w:val="00D05B95"/>
    <w:rsid w:val="00D06D8D"/>
    <w:rsid w:val="00D3138A"/>
    <w:rsid w:val="00D341EA"/>
    <w:rsid w:val="00D41311"/>
    <w:rsid w:val="00D44D57"/>
    <w:rsid w:val="00D54337"/>
    <w:rsid w:val="00D57A33"/>
    <w:rsid w:val="00D85CC8"/>
    <w:rsid w:val="00DB00C4"/>
    <w:rsid w:val="00DE0E38"/>
    <w:rsid w:val="00DF7B89"/>
    <w:rsid w:val="00DF7D08"/>
    <w:rsid w:val="00E0033D"/>
    <w:rsid w:val="00E140AD"/>
    <w:rsid w:val="00E16B36"/>
    <w:rsid w:val="00E376D3"/>
    <w:rsid w:val="00E4072F"/>
    <w:rsid w:val="00E43CE5"/>
    <w:rsid w:val="00E5092E"/>
    <w:rsid w:val="00E75A71"/>
    <w:rsid w:val="00E81873"/>
    <w:rsid w:val="00E83550"/>
    <w:rsid w:val="00E85FEF"/>
    <w:rsid w:val="00E9378F"/>
    <w:rsid w:val="00E94260"/>
    <w:rsid w:val="00EA1F7B"/>
    <w:rsid w:val="00EA4B25"/>
    <w:rsid w:val="00EA514E"/>
    <w:rsid w:val="00EA67FA"/>
    <w:rsid w:val="00EB1B9D"/>
    <w:rsid w:val="00EB34C3"/>
    <w:rsid w:val="00EB388F"/>
    <w:rsid w:val="00ED666D"/>
    <w:rsid w:val="00EE6234"/>
    <w:rsid w:val="00EE6F98"/>
    <w:rsid w:val="00EF4E52"/>
    <w:rsid w:val="00F0035F"/>
    <w:rsid w:val="00F2537C"/>
    <w:rsid w:val="00F34EF9"/>
    <w:rsid w:val="00F42237"/>
    <w:rsid w:val="00F42897"/>
    <w:rsid w:val="00F611A7"/>
    <w:rsid w:val="00F62643"/>
    <w:rsid w:val="00F6768D"/>
    <w:rsid w:val="00F90B28"/>
    <w:rsid w:val="00F9206E"/>
    <w:rsid w:val="00FA7FF8"/>
    <w:rsid w:val="00FB0693"/>
    <w:rsid w:val="00FC6FB0"/>
    <w:rsid w:val="00FD3B5B"/>
    <w:rsid w:val="00FD5949"/>
    <w:rsid w:val="00FE07D4"/>
    <w:rsid w:val="00FF415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157877"/>
  <w15:chartTrackingRefBased/>
  <w15:docId w15:val="{AB72188A-2B5C-4C98-BB32-AEFEF1DF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1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320"/>
        <w:tab w:val="right" w:pos="8640"/>
      </w:tabs>
    </w:pPr>
  </w:style>
  <w:style w:type="paragraph" w:styleId="a4">
    <w:name w:val="header"/>
    <w:basedOn w:val="a"/>
    <w:pPr>
      <w:tabs>
        <w:tab w:val="center" w:pos="4320"/>
        <w:tab w:val="right" w:pos="8640"/>
      </w:tabs>
    </w:pPr>
  </w:style>
  <w:style w:type="paragraph" w:styleId="a5">
    <w:name w:val="Body Text"/>
    <w:basedOn w:val="a"/>
    <w:pPr>
      <w:jc w:val="both"/>
    </w:pPr>
    <w:rPr>
      <w:bCs/>
      <w:sz w:val="20"/>
    </w:rPr>
  </w:style>
  <w:style w:type="paragraph" w:styleId="2">
    <w:name w:val="Body Text 2"/>
    <w:basedOn w:val="a"/>
    <w:pPr>
      <w:spacing w:line="240" w:lineRule="atLeast"/>
      <w:ind w:right="30"/>
      <w:jc w:val="both"/>
    </w:pPr>
    <w:rPr>
      <w:sz w:val="20"/>
    </w:rPr>
  </w:style>
  <w:style w:type="character" w:styleId="a6">
    <w:name w:val="Hyperlink"/>
    <w:rsid w:val="004D0D34"/>
    <w:rPr>
      <w:color w:val="0000FF"/>
      <w:u w:val="single"/>
    </w:rPr>
  </w:style>
  <w:style w:type="paragraph" w:styleId="a7">
    <w:name w:val="caption"/>
    <w:basedOn w:val="a"/>
    <w:next w:val="a"/>
    <w:qFormat/>
    <w:rsid w:val="000F5D51"/>
    <w:pPr>
      <w:spacing w:before="120" w:after="120"/>
    </w:pPr>
    <w:rPr>
      <w:b/>
      <w:bCs/>
      <w:sz w:val="20"/>
    </w:rPr>
  </w:style>
  <w:style w:type="paragraph" w:styleId="a8">
    <w:name w:val="Balloon Text"/>
    <w:basedOn w:val="a"/>
    <w:semiHidden/>
    <w:rsid w:val="00C338A1"/>
    <w:rPr>
      <w:rFonts w:ascii="Tahoma" w:hAnsi="Tahoma" w:cs="Tahoma"/>
      <w:sz w:val="16"/>
      <w:szCs w:val="16"/>
    </w:rPr>
  </w:style>
  <w:style w:type="character" w:styleId="a9">
    <w:name w:val="annotation reference"/>
    <w:semiHidden/>
    <w:rsid w:val="00A51BEB"/>
    <w:rPr>
      <w:sz w:val="16"/>
      <w:szCs w:val="16"/>
    </w:rPr>
  </w:style>
  <w:style w:type="paragraph" w:styleId="aa">
    <w:name w:val="annotation text"/>
    <w:basedOn w:val="a"/>
    <w:semiHidden/>
    <w:rsid w:val="00A51BEB"/>
    <w:rPr>
      <w:sz w:val="20"/>
    </w:rPr>
  </w:style>
  <w:style w:type="paragraph" w:styleId="ab">
    <w:name w:val="annotation subject"/>
    <w:basedOn w:val="aa"/>
    <w:next w:val="aa"/>
    <w:semiHidden/>
    <w:rsid w:val="00A51BEB"/>
    <w:rPr>
      <w:b/>
      <w:bCs/>
    </w:rPr>
  </w:style>
  <w:style w:type="paragraph" w:customStyle="1" w:styleId="15TableBody">
    <w:name w:val="15_Table_Body"/>
    <w:rsid w:val="00817E51"/>
    <w:pPr>
      <w:spacing w:line="213" w:lineRule="exact"/>
    </w:pPr>
    <w:rPr>
      <w:rFonts w:eastAsia="Arial Unicode MS"/>
      <w:sz w:val="18"/>
      <w:lang w:val="en-GB" w:eastAsia="ja-JP"/>
    </w:rPr>
  </w:style>
  <w:style w:type="table" w:customStyle="1" w:styleId="Tabellengitternetz">
    <w:name w:val="Tabellengitternetz"/>
    <w:basedOn w:val="a1"/>
    <w:rsid w:val="00817E51"/>
    <w:pPr>
      <w:autoSpaceDE w:val="0"/>
      <w:autoSpaceDN w:val="0"/>
      <w:snapToGrid w:val="0"/>
      <w:spacing w:line="227" w:lineRule="exac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InlineHeading">
    <w:name w:val="11_Inline_Heading"/>
    <w:rsid w:val="00817E51"/>
    <w:rPr>
      <w:rFonts w:ascii="Arial" w:hAnsi="Arial"/>
      <w:b/>
      <w:lang w:val="en-GB"/>
    </w:rPr>
  </w:style>
  <w:style w:type="paragraph" w:customStyle="1" w:styleId="14TableTitle">
    <w:name w:val="14_Table_Title"/>
    <w:rsid w:val="00817E51"/>
    <w:pPr>
      <w:spacing w:after="120" w:line="213" w:lineRule="exact"/>
      <w:jc w:val="both"/>
    </w:pPr>
    <w:rPr>
      <w:rFonts w:eastAsia="Arial Unicode MS"/>
      <w:sz w:val="18"/>
      <w:lang w:val="en-GB" w:eastAsia="ja-JP"/>
    </w:rPr>
  </w:style>
  <w:style w:type="character" w:customStyle="1" w:styleId="yshortcuts">
    <w:name w:val="yshortcuts"/>
    <w:basedOn w:val="a0"/>
    <w:rsid w:val="006E5DA0"/>
  </w:style>
  <w:style w:type="paragraph" w:customStyle="1" w:styleId="AuthNames">
    <w:name w:val="AuthNames"/>
    <w:aliases w:val="AU"/>
    <w:basedOn w:val="a"/>
    <w:next w:val="a"/>
    <w:rsid w:val="00FE07D4"/>
    <w:pPr>
      <w:spacing w:before="120" w:after="120" w:line="320" w:lineRule="atLeast"/>
      <w:ind w:left="720" w:right="720"/>
    </w:pPr>
    <w:rPr>
      <w:rFonts w:ascii="Arial" w:hAnsi="Arial"/>
      <w:sz w:val="28"/>
      <w:szCs w:val="24"/>
      <w:lang w:val="en-GB"/>
    </w:rPr>
  </w:style>
  <w:style w:type="paragraph" w:styleId="ac">
    <w:name w:val="List Paragraph"/>
    <w:basedOn w:val="a"/>
    <w:uiPriority w:val="34"/>
    <w:qFormat/>
    <w:rsid w:val="002B6D7E"/>
    <w:pPr>
      <w:ind w:left="720"/>
      <w:contextualSpacing/>
    </w:pPr>
  </w:style>
  <w:style w:type="character" w:styleId="ad">
    <w:name w:val="Unresolved Mention"/>
    <w:basedOn w:val="a0"/>
    <w:uiPriority w:val="99"/>
    <w:semiHidden/>
    <w:unhideWhenUsed/>
    <w:rsid w:val="002B6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71488">
      <w:bodyDiv w:val="1"/>
      <w:marLeft w:val="0"/>
      <w:marRight w:val="0"/>
      <w:marTop w:val="0"/>
      <w:marBottom w:val="0"/>
      <w:divBdr>
        <w:top w:val="none" w:sz="0" w:space="0" w:color="auto"/>
        <w:left w:val="none" w:sz="0" w:space="0" w:color="auto"/>
        <w:bottom w:val="none" w:sz="0" w:space="0" w:color="auto"/>
        <w:right w:val="none" w:sz="0" w:space="0" w:color="auto"/>
      </w:divBdr>
    </w:div>
    <w:div w:id="165494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nanolab.com.ua" TargetMode="External"/><Relationship Id="rId12" Type="http://schemas.openxmlformats.org/officeDocument/2006/relationships/hyperlink" Target="https://www.linkedin.com/fe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653</Words>
  <Characters>3727</Characters>
  <Application>Microsoft Office Word</Application>
  <DocSecurity>0</DocSecurity>
  <Lines>31</Lines>
  <Paragraphs>8</Paragraphs>
  <ScaleCrop>false</ScaleCrop>
  <HeadingPairs>
    <vt:vector size="8" baseType="variant">
      <vt:variant>
        <vt:lpstr>Название</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template for two-page abstracts in Word 97 (PC)</vt:lpstr>
      <vt:lpstr>template for two-page abstracts in Word 97 (PC)</vt:lpstr>
      <vt:lpstr>template for two-page abstracts in Word 97 (PC)</vt:lpstr>
      <vt:lpstr>template for two-page abstracts in Word 97 (PC)</vt:lpstr>
    </vt:vector>
  </TitlesOfParts>
  <Company>CASS</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two-page abstracts in Word 97 (PC)</dc:title>
  <dc:subject/>
  <dc:creator>LPI</dc:creator>
  <cp:keywords/>
  <cp:lastModifiedBy>Andrey Belousov</cp:lastModifiedBy>
  <cp:revision>2</cp:revision>
  <cp:lastPrinted>2009-01-20T19:42:00Z</cp:lastPrinted>
  <dcterms:created xsi:type="dcterms:W3CDTF">2019-04-01T12:29:00Z</dcterms:created>
  <dcterms:modified xsi:type="dcterms:W3CDTF">2019-04-01T12:29:00Z</dcterms:modified>
</cp:coreProperties>
</file>