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045" w:rsidRDefault="00461045" w:rsidP="00461045">
      <w:pPr>
        <w:pBdr>
          <w:bottom w:val="single" w:sz="8" w:space="4" w:color="4F81BD"/>
        </w:pBdr>
        <w:spacing w:after="300" w:line="480" w:lineRule="auto"/>
        <w:contextualSpacing/>
        <w:rPr>
          <w:rFonts w:ascii="Times New Roman" w:eastAsia="Times New Roman" w:hAnsi="Times New Roman" w:cs="Times New Roman"/>
          <w:spacing w:val="5"/>
          <w:kern w:val="28"/>
          <w:sz w:val="44"/>
          <w:szCs w:val="44"/>
          <w:u w:val="single"/>
        </w:rPr>
      </w:pPr>
      <w:proofErr w:type="gramStart"/>
      <w:r>
        <w:rPr>
          <w:rFonts w:ascii="Times New Roman" w:eastAsia="Times New Roman" w:hAnsi="Times New Roman" w:cs="Times New Roman"/>
          <w:spacing w:val="5"/>
          <w:kern w:val="28"/>
          <w:sz w:val="40"/>
          <w:szCs w:val="40"/>
          <w:u w:val="single"/>
        </w:rPr>
        <w:t>Abstract :</w:t>
      </w:r>
      <w:proofErr w:type="gramEnd"/>
    </w:p>
    <w:p w:rsidR="00461045" w:rsidRDefault="00461045" w:rsidP="00461045">
      <w:pPr>
        <w:pBdr>
          <w:bottom w:val="single" w:sz="8" w:space="4" w:color="4F81BD"/>
        </w:pBdr>
        <w:spacing w:after="300" w:line="360" w:lineRule="auto"/>
        <w:contextualSpacing/>
        <w:jc w:val="both"/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7365D"/>
          <w:spacing w:val="5"/>
          <w:kern w:val="28"/>
          <w:sz w:val="28"/>
          <w:szCs w:val="28"/>
        </w:rPr>
        <w:t xml:space="preserve">Background </w:t>
      </w:r>
      <w:r>
        <w:rPr>
          <w:rFonts w:ascii="Times New Roman" w:hAnsi="Times New Roman" w:cs="Times New Roman"/>
          <w:color w:val="17365D"/>
          <w:spacing w:val="5"/>
          <w:kern w:val="28"/>
          <w:sz w:val="32"/>
          <w:szCs w:val="32"/>
        </w:rPr>
        <w:t>: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>Membranoproliferative</w:t>
      </w:r>
      <w:proofErr w:type="spellEnd"/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 xml:space="preserve"> glomerulonephritis (MPGN) is a type of glomerulonephritis caused by deposits in the kidney glomerular </w:t>
      </w:r>
      <w:proofErr w:type="spellStart"/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>mesangium</w:t>
      </w:r>
      <w:proofErr w:type="spellEnd"/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 xml:space="preserve"> and basement membrane thickening, activating complement and damaging the glomeruli .( MPGN) classified to 3 types according to location of deposits , and based on etiology categorized to secondary and idiopathic .</w:t>
      </w:r>
    </w:p>
    <w:p w:rsidR="00461045" w:rsidRDefault="00461045" w:rsidP="00461045">
      <w:pPr>
        <w:pBdr>
          <w:bottom w:val="single" w:sz="8" w:space="4" w:color="4F81BD"/>
        </w:pBdr>
        <w:spacing w:after="300" w:line="360" w:lineRule="auto"/>
        <w:contextualSpacing/>
        <w:jc w:val="both"/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7365D"/>
          <w:spacing w:val="5"/>
          <w:kern w:val="28"/>
          <w:sz w:val="28"/>
          <w:szCs w:val="28"/>
        </w:rPr>
        <w:t>Objective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 xml:space="preserve">: The aim of the study is to find the outcome of treatment (remission, partial remission, relapse and progress to end stage renal disease) of idiopathic </w:t>
      </w:r>
      <w:proofErr w:type="spellStart"/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>membranoproliferative</w:t>
      </w:r>
      <w:proofErr w:type="spellEnd"/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 xml:space="preserve"> glomerulonephritis, among adult Sudanese patients presenting to Omdurman Military Hospital, Renal Unit.</w:t>
      </w:r>
    </w:p>
    <w:p w:rsidR="00461045" w:rsidRDefault="00461045" w:rsidP="00461045">
      <w:pPr>
        <w:pBdr>
          <w:bottom w:val="single" w:sz="8" w:space="4" w:color="4F81BD"/>
        </w:pBdr>
        <w:spacing w:after="300" w:line="360" w:lineRule="auto"/>
        <w:contextualSpacing/>
        <w:jc w:val="both"/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7365D"/>
          <w:spacing w:val="5"/>
          <w:kern w:val="28"/>
          <w:sz w:val="28"/>
          <w:szCs w:val="28"/>
          <w:lang w:val="en-IE"/>
        </w:rPr>
        <w:t>Materials and Methods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  <w:lang w:val="en-IE"/>
        </w:rPr>
        <w:t>: A retrospective study of patients with idiopathic MPGN followed up at the clinic. Forty five patients with no identifiable cause of MPGN were included.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 xml:space="preserve">  Idiopathic (MPGN) patients who have high renal profile or </w:t>
      </w:r>
      <w:proofErr w:type="spellStart"/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>nephrotic</w:t>
      </w:r>
      <w:proofErr w:type="spellEnd"/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 xml:space="preserve"> range  treated by three doses of methylprednisolone 0.5 g intravenous  in three consecutive days , and of corticosteroid tabs (0.5_1mg/kg/day),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>slowly withdrawn according to the patient response indicated by spot urine test .</w:t>
      </w:r>
    </w:p>
    <w:p w:rsidR="00461045" w:rsidRDefault="00461045" w:rsidP="00461045">
      <w:pPr>
        <w:pBdr>
          <w:bottom w:val="single" w:sz="8" w:space="4" w:color="4F81BD"/>
        </w:pBdr>
        <w:spacing w:after="300" w:line="360" w:lineRule="auto"/>
        <w:contextualSpacing/>
        <w:jc w:val="both"/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7365D"/>
          <w:spacing w:val="5"/>
          <w:kern w:val="28"/>
          <w:sz w:val="28"/>
          <w:szCs w:val="28"/>
        </w:rPr>
        <w:t>Results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>: Out of forty five patients the following treatment outcomes were observed, (remission</w:t>
      </w:r>
      <w:r w:rsidR="00F4602B"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>, partial remission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>, relapsed,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  <w:rtl/>
        </w:rPr>
        <w:t xml:space="preserve"> 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 xml:space="preserve">and progressed </w:t>
      </w:r>
    </w:p>
    <w:p w:rsidR="00461045" w:rsidRDefault="00461045" w:rsidP="00461045">
      <w:pPr>
        <w:pBdr>
          <w:bottom w:val="single" w:sz="8" w:space="4" w:color="4F81BD"/>
        </w:pBdr>
        <w:spacing w:after="300" w:line="360" w:lineRule="auto"/>
        <w:contextualSpacing/>
        <w:jc w:val="both"/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</w:pP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</w:rPr>
        <w:t>to (ESRD) ), (  44% ,  16% ,  18% , 22% ) respectively .</w:t>
      </w:r>
    </w:p>
    <w:p w:rsidR="00461045" w:rsidRDefault="00461045" w:rsidP="00461045">
      <w:pPr>
        <w:pBdr>
          <w:bottom w:val="single" w:sz="8" w:space="4" w:color="4F81BD"/>
        </w:pBdr>
        <w:spacing w:after="300" w:line="360" w:lineRule="auto"/>
        <w:contextualSpacing/>
        <w:jc w:val="both"/>
        <w:rPr>
          <w:rFonts w:ascii="Times New Roman" w:eastAsia="Times New Roman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17365D"/>
          <w:spacing w:val="5"/>
          <w:kern w:val="28"/>
          <w:sz w:val="28"/>
          <w:szCs w:val="28"/>
          <w:lang w:val="en-IE"/>
        </w:rPr>
        <w:t>Conclusions</w:t>
      </w:r>
      <w:r>
        <w:rPr>
          <w:rFonts w:ascii="Times New Roman" w:hAnsi="Times New Roman" w:cs="Times New Roman"/>
          <w:color w:val="17365D"/>
          <w:spacing w:val="5"/>
          <w:kern w:val="28"/>
          <w:sz w:val="28"/>
          <w:szCs w:val="28"/>
          <w:lang w:val="en-IE"/>
        </w:rPr>
        <w:t xml:space="preserve">: In comparison to the similar studies, the remission rate is comparable, but the renal survival rate is different.     </w:t>
      </w:r>
    </w:p>
    <w:p w:rsidR="00461045" w:rsidRDefault="00461045" w:rsidP="00461045"/>
    <w:p w:rsidR="00551C29" w:rsidRDefault="00551C29"/>
    <w:p w:rsidR="00461045" w:rsidRDefault="00461045"/>
    <w:p w:rsidR="00461045" w:rsidRDefault="00461045">
      <w:r w:rsidRPr="00461045">
        <w:rPr>
          <w:noProof/>
          <w:lang w:val="en-IN" w:eastAsia="en-IN"/>
        </w:rPr>
        <w:drawing>
          <wp:inline distT="0" distB="0" distL="0" distR="0">
            <wp:extent cx="5486400" cy="7762599"/>
            <wp:effectExtent l="0" t="0" r="0" b="0"/>
            <wp:docPr id="1" name="Picture 1" descr="C:\Users\john\Desktop\scan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esktop\scan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62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1045" w:rsidRDefault="00461045"/>
    <w:p w:rsidR="00461045" w:rsidRDefault="00461045"/>
    <w:p w:rsidR="00461045" w:rsidRDefault="00461045">
      <w:r w:rsidRPr="00461045">
        <w:rPr>
          <w:noProof/>
          <w:lang w:val="en-IN" w:eastAsia="en-IN"/>
        </w:rPr>
        <w:lastRenderedPageBreak/>
        <w:drawing>
          <wp:inline distT="0" distB="0" distL="0" distR="0">
            <wp:extent cx="5486400" cy="7762599"/>
            <wp:effectExtent l="0" t="0" r="0" b="0"/>
            <wp:docPr id="2" name="Picture 2" descr="C:\Users\john\Desktop\scan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ohn\Desktop\scan1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62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10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045"/>
    <w:rsid w:val="00461045"/>
    <w:rsid w:val="00551C29"/>
    <w:rsid w:val="00F4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045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045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1250</Characters>
  <Application>Microsoft Office Word</Application>
  <DocSecurity>0</DocSecurity>
  <Lines>10</Lines>
  <Paragraphs>2</Paragraphs>
  <ScaleCrop>false</ScaleCrop>
  <Company>LARA PC C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SAHIUNY</dc:creator>
  <cp:keywords/>
  <dc:description/>
  <cp:lastModifiedBy>Paediatric Congress Supporting</cp:lastModifiedBy>
  <cp:revision>4</cp:revision>
  <dcterms:created xsi:type="dcterms:W3CDTF">2017-04-06T20:09:00Z</dcterms:created>
  <dcterms:modified xsi:type="dcterms:W3CDTF">2017-10-12T03:18:00Z</dcterms:modified>
</cp:coreProperties>
</file>