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96B" w:rsidRPr="00B4496B" w:rsidRDefault="00B4496B" w:rsidP="00B4496B">
      <w:pPr>
        <w:pStyle w:val="Heading1"/>
        <w:spacing w:before="170"/>
        <w:ind w:left="0"/>
        <w:rPr>
          <w:color w:val="337AB7"/>
        </w:rPr>
      </w:pPr>
      <w:r w:rsidRPr="00B4496B">
        <w:rPr>
          <w:color w:val="337AB7"/>
        </w:rPr>
        <w:fldChar w:fldCharType="begin"/>
      </w:r>
      <w:r w:rsidRPr="00B4496B">
        <w:rPr>
          <w:color w:val="337AB7"/>
        </w:rPr>
        <w:instrText xml:space="preserve"> HYPERLINK "http://iap.ir/admin/index.php?menu=en-adminacceptpaper&amp;paper_id=42" \t "_blank" </w:instrText>
      </w:r>
      <w:r w:rsidRPr="00B4496B">
        <w:rPr>
          <w:color w:val="337AB7"/>
        </w:rPr>
        <w:fldChar w:fldCharType="separate"/>
      </w:r>
      <w:r w:rsidRPr="00B4496B">
        <w:rPr>
          <w:color w:val="337AB7"/>
        </w:rPr>
        <w:t>Histological analysis improved after using nerve growth factor in a neurotmesis rat model: Angiogenesis</w:t>
      </w:r>
      <w:r w:rsidRPr="00B4496B">
        <w:rPr>
          <w:color w:val="337AB7"/>
        </w:rPr>
        <w:fldChar w:fldCharType="end"/>
      </w:r>
    </w:p>
    <w:p w:rsidR="00B4496B" w:rsidRPr="00B4496B" w:rsidRDefault="00B4496B" w:rsidP="00B4496B">
      <w:pPr>
        <w:pStyle w:val="BodyText"/>
        <w:spacing w:before="73" w:line="198" w:lineRule="exact"/>
        <w:ind w:left="100" w:right="5987"/>
        <w:rPr>
          <w:rFonts w:ascii="Arial"/>
        </w:rPr>
      </w:pPr>
      <w:r w:rsidRPr="00B4496B">
        <w:rPr>
          <w:rFonts w:ascii="Arial"/>
        </w:rPr>
        <w:t xml:space="preserve">Mehrnaz </w:t>
      </w:r>
      <w:proofErr w:type="spellStart"/>
      <w:r w:rsidRPr="00B4496B">
        <w:rPr>
          <w:rFonts w:ascii="Arial"/>
        </w:rPr>
        <w:t>Moattari</w:t>
      </w:r>
      <w:proofErr w:type="spellEnd"/>
      <w:r w:rsidRPr="00B4496B">
        <w:rPr>
          <w:rFonts w:ascii="Arial"/>
        </w:rPr>
        <w:t xml:space="preserve">, </w:t>
      </w:r>
      <w:r w:rsidRPr="00B4496B">
        <w:rPr>
          <w:rFonts w:ascii="Arial"/>
        </w:rPr>
        <w:t xml:space="preserve">Kharazmi </w:t>
      </w:r>
      <w:proofErr w:type="gramStart"/>
      <w:r w:rsidRPr="00B4496B">
        <w:rPr>
          <w:rFonts w:ascii="Arial"/>
        </w:rPr>
        <w:t>university</w:t>
      </w:r>
      <w:proofErr w:type="gramEnd"/>
      <w:r w:rsidRPr="00B4496B">
        <w:rPr>
          <w:rFonts w:ascii="Arial"/>
        </w:rPr>
        <w:t>, Iran.</w:t>
      </w:r>
    </w:p>
    <w:p w:rsidR="00B4496B" w:rsidRPr="00B4496B" w:rsidRDefault="00B4496B" w:rsidP="00B4496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B4496B">
        <w:rPr>
          <w:rFonts w:ascii="Arial"/>
        </w:rPr>
        <w:t>Farahnaz</w:t>
      </w:r>
      <w:proofErr w:type="spellEnd"/>
      <w:r w:rsidRPr="00B4496B">
        <w:rPr>
          <w:rFonts w:ascii="Arial"/>
        </w:rPr>
        <w:t xml:space="preserve"> </w:t>
      </w:r>
      <w:proofErr w:type="spellStart"/>
      <w:r w:rsidRPr="00B4496B">
        <w:rPr>
          <w:rFonts w:ascii="Arial"/>
        </w:rPr>
        <w:t>Moattari</w:t>
      </w:r>
      <w:proofErr w:type="spellEnd"/>
      <w:r w:rsidRPr="00B4496B">
        <w:rPr>
          <w:rFonts w:ascii="Arial"/>
        </w:rPr>
        <w:t xml:space="preserve">, </w:t>
      </w:r>
      <w:r w:rsidRPr="00B4496B">
        <w:rPr>
          <w:rFonts w:ascii="Arial"/>
        </w:rPr>
        <w:t>Persian Gulf University</w:t>
      </w:r>
      <w:r w:rsidRPr="00B4496B">
        <w:rPr>
          <w:rFonts w:ascii="Arial"/>
        </w:rPr>
        <w:t>, Iran.</w:t>
      </w:r>
      <w:proofErr w:type="gramEnd"/>
    </w:p>
    <w:p w:rsidR="00B4496B" w:rsidRPr="00B4496B" w:rsidRDefault="00B4496B" w:rsidP="00B4496B">
      <w:pPr>
        <w:pStyle w:val="BodyText"/>
        <w:spacing w:before="73" w:line="198" w:lineRule="exact"/>
        <w:ind w:left="100" w:right="5987"/>
        <w:rPr>
          <w:rFonts w:ascii="Arial"/>
        </w:rPr>
      </w:pPr>
      <w:proofErr w:type="gramStart"/>
      <w:r w:rsidRPr="00B4496B">
        <w:rPr>
          <w:rFonts w:ascii="Arial"/>
        </w:rPr>
        <w:t>Gholamreza Kaka, Baqiyatallah University of Medical</w:t>
      </w:r>
      <w:r>
        <w:rPr>
          <w:rFonts w:ascii="Arial"/>
        </w:rPr>
        <w:t xml:space="preserve"> </w:t>
      </w:r>
      <w:r w:rsidRPr="00B4496B">
        <w:rPr>
          <w:rFonts w:ascii="Arial"/>
        </w:rPr>
        <w:t>Sciences, Iran.</w:t>
      </w:r>
      <w:proofErr w:type="gramEnd"/>
    </w:p>
    <w:p w:rsidR="00B4496B" w:rsidRPr="00B4496B" w:rsidRDefault="00B4496B" w:rsidP="00B4496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B4496B">
        <w:rPr>
          <w:rFonts w:ascii="Arial"/>
        </w:rPr>
        <w:t>Homa</w:t>
      </w:r>
      <w:proofErr w:type="spellEnd"/>
      <w:r w:rsidRPr="00B4496B">
        <w:rPr>
          <w:rFonts w:ascii="Arial"/>
        </w:rPr>
        <w:t xml:space="preserve"> </w:t>
      </w:r>
      <w:proofErr w:type="spellStart"/>
      <w:r w:rsidRPr="00B4496B">
        <w:rPr>
          <w:rFonts w:ascii="Arial"/>
        </w:rPr>
        <w:t>Mohseni</w:t>
      </w:r>
      <w:proofErr w:type="spellEnd"/>
      <w:r w:rsidRPr="00B4496B">
        <w:rPr>
          <w:rFonts w:ascii="Arial"/>
        </w:rPr>
        <w:t xml:space="preserve"> </w:t>
      </w:r>
      <w:proofErr w:type="spellStart"/>
      <w:r w:rsidRPr="00B4496B">
        <w:rPr>
          <w:rFonts w:ascii="Arial"/>
        </w:rPr>
        <w:t>Kouchesfahani</w:t>
      </w:r>
      <w:proofErr w:type="spellEnd"/>
      <w:r w:rsidRPr="00B4496B">
        <w:rPr>
          <w:rFonts w:ascii="Arial"/>
        </w:rPr>
        <w:t xml:space="preserve">, </w:t>
      </w:r>
      <w:r w:rsidRPr="00B4496B">
        <w:rPr>
          <w:rFonts w:ascii="Arial"/>
        </w:rPr>
        <w:t xml:space="preserve">Kharazmi </w:t>
      </w:r>
      <w:proofErr w:type="gramStart"/>
      <w:r w:rsidRPr="00B4496B">
        <w:rPr>
          <w:rFonts w:ascii="Arial"/>
        </w:rPr>
        <w:t>university</w:t>
      </w:r>
      <w:proofErr w:type="gramEnd"/>
      <w:r w:rsidRPr="00B4496B">
        <w:rPr>
          <w:rFonts w:ascii="Arial"/>
        </w:rPr>
        <w:t>, Iran.</w:t>
      </w:r>
    </w:p>
    <w:p w:rsidR="00B4496B" w:rsidRPr="00B4496B" w:rsidRDefault="00B4496B" w:rsidP="00B4496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B4496B">
        <w:rPr>
          <w:rFonts w:ascii="Arial"/>
        </w:rPr>
        <w:t>Seyed</w:t>
      </w:r>
      <w:proofErr w:type="spellEnd"/>
      <w:r w:rsidRPr="00B4496B">
        <w:rPr>
          <w:rFonts w:ascii="Arial"/>
        </w:rPr>
        <w:t xml:space="preserve"> </w:t>
      </w:r>
      <w:proofErr w:type="spellStart"/>
      <w:r w:rsidRPr="00B4496B">
        <w:rPr>
          <w:rFonts w:ascii="Arial"/>
        </w:rPr>
        <w:t>Homayoon</w:t>
      </w:r>
      <w:proofErr w:type="spellEnd"/>
      <w:r w:rsidRPr="00B4496B">
        <w:rPr>
          <w:rFonts w:ascii="Arial"/>
        </w:rPr>
        <w:t xml:space="preserve"> Sadraie</w:t>
      </w:r>
      <w:r w:rsidRPr="00B4496B">
        <w:rPr>
          <w:rFonts w:ascii="Arial"/>
        </w:rPr>
        <w:t xml:space="preserve">, </w:t>
      </w:r>
      <w:r w:rsidRPr="00B4496B">
        <w:rPr>
          <w:rFonts w:ascii="Arial"/>
        </w:rPr>
        <w:t>Baqiyatallah University of Medical Sciences, Iran.</w:t>
      </w:r>
      <w:proofErr w:type="gramEnd"/>
    </w:p>
    <w:p w:rsidR="00B4496B" w:rsidRPr="00B4496B" w:rsidRDefault="00B4496B" w:rsidP="00B4496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B4496B">
        <w:rPr>
          <w:rFonts w:ascii="Arial"/>
        </w:rPr>
        <w:t>Majid</w:t>
      </w:r>
      <w:proofErr w:type="spellEnd"/>
      <w:r w:rsidRPr="00B4496B">
        <w:rPr>
          <w:rFonts w:ascii="Arial"/>
        </w:rPr>
        <w:t xml:space="preserve"> </w:t>
      </w:r>
      <w:proofErr w:type="spellStart"/>
      <w:r w:rsidRPr="00B4496B">
        <w:rPr>
          <w:rFonts w:ascii="Arial"/>
        </w:rPr>
        <w:t>Naghdi</w:t>
      </w:r>
      <w:proofErr w:type="spellEnd"/>
      <w:r w:rsidRPr="00B4496B">
        <w:rPr>
          <w:rFonts w:ascii="Arial"/>
        </w:rPr>
        <w:t xml:space="preserve">, </w:t>
      </w:r>
      <w:proofErr w:type="spellStart"/>
      <w:r w:rsidRPr="00B4496B">
        <w:rPr>
          <w:rFonts w:ascii="Arial"/>
        </w:rPr>
        <w:t>Fasa</w:t>
      </w:r>
      <w:proofErr w:type="spellEnd"/>
      <w:r w:rsidRPr="00B4496B">
        <w:rPr>
          <w:rFonts w:ascii="Arial"/>
        </w:rPr>
        <w:t xml:space="preserve"> University of Medical Science</w:t>
      </w:r>
      <w:r w:rsidRPr="00B4496B">
        <w:rPr>
          <w:rFonts w:ascii="Arial"/>
        </w:rPr>
        <w:t>, Iran.</w:t>
      </w:r>
      <w:proofErr w:type="gramEnd"/>
      <w:r w:rsidRPr="00B4496B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4496B" w:rsidRPr="00B4496B" w:rsidRDefault="00A9710C" w:rsidP="00B4496B">
      <w:pPr>
        <w:jc w:val="both"/>
      </w:pPr>
      <w:r>
        <w:t xml:space="preserve">Statement of the Problem: </w:t>
      </w:r>
      <w:r w:rsidR="00B4496B" w:rsidRPr="00B4496B">
        <w:t>Peripheral nerve injuries are prevalent clinically. The rate of peripheral nerve is assessed between 13 and 23 per100, 000 persons per year injuries in developed countries.</w:t>
      </w:r>
      <w:r w:rsidR="00B4496B" w:rsidRPr="00B4496B">
        <w:t xml:space="preserve"> </w:t>
      </w:r>
      <w:r w:rsidR="00B4496B" w:rsidRPr="00B4496B">
        <w:t>In the present study, the effect of NGF on mesenchymal stem cell cultured by a membrane of chitosan was investigated by analysis of angiogenesis (Number of nerve blood vessels and blood vessel area).</w:t>
      </w:r>
      <w:r>
        <w:t xml:space="preserve"> Methodolog</w:t>
      </w:r>
      <w:r w:rsidR="008756E6">
        <w:t xml:space="preserve">y &amp; Theoretical Orientation: </w:t>
      </w:r>
      <w:r w:rsidR="00B4496B" w:rsidRPr="00B4496B">
        <w:t xml:space="preserve">In this experimental study, 42 male Wistar rats (180-200g) were operated by cutting sciatic nerves and re-apposition of cut ends by suturing. Then rats randomly divided into control, </w:t>
      </w:r>
      <w:proofErr w:type="spellStart"/>
      <w:r w:rsidR="00B4496B" w:rsidRPr="00B4496B">
        <w:t>Membrane+Cell</w:t>
      </w:r>
      <w:proofErr w:type="spellEnd"/>
      <w:r w:rsidR="00B4496B" w:rsidRPr="00B4496B">
        <w:t xml:space="preserve"> (</w:t>
      </w:r>
      <w:proofErr w:type="spellStart"/>
      <w:r w:rsidR="00B4496B" w:rsidRPr="00B4496B">
        <w:t>Mem+Cell</w:t>
      </w:r>
      <w:proofErr w:type="spellEnd"/>
      <w:r w:rsidR="00B4496B" w:rsidRPr="00B4496B">
        <w:t xml:space="preserve">), NGF, </w:t>
      </w:r>
      <w:proofErr w:type="spellStart"/>
      <w:r w:rsidR="00B4496B" w:rsidRPr="00B4496B">
        <w:t>NGF+Cell</w:t>
      </w:r>
      <w:proofErr w:type="spellEnd"/>
      <w:r w:rsidR="00B4496B" w:rsidRPr="00B4496B">
        <w:t xml:space="preserve">, </w:t>
      </w:r>
      <w:proofErr w:type="spellStart"/>
      <w:r w:rsidR="00B4496B" w:rsidRPr="00B4496B">
        <w:t>NGF+Mem</w:t>
      </w:r>
      <w:proofErr w:type="spellEnd"/>
      <w:r w:rsidR="00B4496B" w:rsidRPr="00B4496B">
        <w:t xml:space="preserve"> and </w:t>
      </w:r>
      <w:proofErr w:type="spellStart"/>
      <w:r w:rsidR="00B4496B" w:rsidRPr="00B4496B">
        <w:t>NGF+Mem+Cell</w:t>
      </w:r>
      <w:proofErr w:type="spellEnd"/>
      <w:r w:rsidR="00B4496B" w:rsidRPr="00B4496B">
        <w:t xml:space="preserve"> groups. Regeneration of sciatic nerve was evaluated by estimation of number of nerve blood vessels and blood vessel area.</w:t>
      </w:r>
      <w:r>
        <w:t xml:space="preserve"> Findings: </w:t>
      </w:r>
      <w:r w:rsidR="00B4496B" w:rsidRPr="00B4496B">
        <w:t xml:space="preserve">At 8 weeks after surgery, the number of vessels increased significantly in </w:t>
      </w:r>
      <w:proofErr w:type="spellStart"/>
      <w:r w:rsidR="00B4496B" w:rsidRPr="00B4496B">
        <w:t>NGF+Mem+Cell</w:t>
      </w:r>
      <w:proofErr w:type="spellEnd"/>
      <w:r w:rsidR="00B4496B" w:rsidRPr="00B4496B">
        <w:t xml:space="preserve"> group compared to control group (P&lt;0.05). In addition, the percentage of vessel area increased significantly in</w:t>
      </w:r>
      <w:r w:rsidR="00B4496B" w:rsidRPr="00C567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4496B" w:rsidRPr="00B4496B">
        <w:t>NGF+Mem+Cell</w:t>
      </w:r>
      <w:proofErr w:type="spellEnd"/>
      <w:r w:rsidR="00B4496B" w:rsidRPr="00C56718">
        <w:rPr>
          <w:rFonts w:ascii="Times New Roman" w:hAnsi="Times New Roman" w:cs="Times New Roman"/>
          <w:color w:val="000000"/>
          <w:sz w:val="24"/>
          <w:szCs w:val="24"/>
        </w:rPr>
        <w:t xml:space="preserve"> group compared to </w:t>
      </w:r>
      <w:r w:rsidR="00B4496B">
        <w:rPr>
          <w:rFonts w:ascii="Times New Roman" w:hAnsi="Times New Roman" w:cs="Times New Roman"/>
          <w:color w:val="000000"/>
          <w:sz w:val="24"/>
          <w:szCs w:val="24"/>
        </w:rPr>
        <w:t>control</w:t>
      </w:r>
      <w:r w:rsidR="00B4496B">
        <w:rPr>
          <w:rFonts w:ascii="Times New Roman" w:hAnsi="Times New Roman" w:cs="Times New Roman"/>
          <w:color w:val="000000"/>
          <w:sz w:val="24"/>
          <w:szCs w:val="24"/>
        </w:rPr>
        <w:t xml:space="preserve"> group (P&lt;0.001). </w:t>
      </w:r>
      <w:r>
        <w:t xml:space="preserve">Conclusion &amp; </w:t>
      </w:r>
      <w:r>
        <w:lastRenderedPageBreak/>
        <w:t xml:space="preserve">Significance: </w:t>
      </w:r>
      <w:r w:rsidR="00B4496B" w:rsidRPr="00B4496B">
        <w:t xml:space="preserve">Our results showed that the number of vessels and percentage of vessel area increased and improved significantly in </w:t>
      </w:r>
      <w:proofErr w:type="spellStart"/>
      <w:r w:rsidR="00B4496B" w:rsidRPr="00B4496B">
        <w:t>NGF+Mem+Cell</w:t>
      </w:r>
      <w:proofErr w:type="spellEnd"/>
      <w:r w:rsidR="00B4496B" w:rsidRPr="00B4496B">
        <w:t xml:space="preserve"> group</w:t>
      </w:r>
      <w:r w:rsidR="00B4496B" w:rsidRPr="00B4496B"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tbl>
      <w:tblPr>
        <w:tblStyle w:val="TableGrid"/>
        <w:tblpPr w:leftFromText="180" w:rightFromText="180" w:vertAnchor="text" w:horzAnchor="margin" w:tblpXSpec="right" w:tblpY="131"/>
        <w:tblW w:w="5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8"/>
      </w:tblGrid>
      <w:tr w:rsidR="007E5608" w:rsidRPr="00FB2EFF" w:rsidTr="007E5608">
        <w:trPr>
          <w:trHeight w:val="324"/>
        </w:trPr>
        <w:tc>
          <w:tcPr>
            <w:tcW w:w="5118" w:type="dxa"/>
          </w:tcPr>
          <w:p w:rsidR="007E5608" w:rsidRPr="00CC179F" w:rsidRDefault="007E5608" w:rsidP="007E5608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84"/>
              </w:tabs>
              <w:spacing w:before="103" w:line="216" w:lineRule="exact"/>
              <w:ind w:right="138" w:hanging="283"/>
              <w:rPr>
                <w:sz w:val="18"/>
                <w:lang w:bidi="ar-SA"/>
              </w:rPr>
            </w:pPr>
            <w:r w:rsidRPr="00CC179F">
              <w:rPr>
                <w:sz w:val="18"/>
                <w:lang w:bidi="ar-SA"/>
              </w:rPr>
              <w:t xml:space="preserve">Sadraie SH, </w:t>
            </w:r>
            <w:proofErr w:type="spellStart"/>
            <w:r w:rsidRPr="00CC179F">
              <w:rPr>
                <w:sz w:val="18"/>
                <w:lang w:bidi="ar-SA"/>
              </w:rPr>
              <w:t>Parivar</w:t>
            </w:r>
            <w:proofErr w:type="spellEnd"/>
            <w:r w:rsidRPr="00CC179F">
              <w:rPr>
                <w:sz w:val="18"/>
                <w:lang w:bidi="ar-SA"/>
              </w:rPr>
              <w:t xml:space="preserve"> K, Arabi F, </w:t>
            </w:r>
            <w:proofErr w:type="spellStart"/>
            <w:r w:rsidRPr="00CC179F">
              <w:rPr>
                <w:sz w:val="18"/>
                <w:lang w:bidi="ar-SA"/>
              </w:rPr>
              <w:t>Moattari</w:t>
            </w:r>
            <w:proofErr w:type="spellEnd"/>
            <w:r w:rsidRPr="00CC179F">
              <w:rPr>
                <w:sz w:val="18"/>
                <w:lang w:bidi="ar-SA"/>
              </w:rPr>
              <w:t xml:space="preserve"> M, Kaka G, </w:t>
            </w:r>
            <w:proofErr w:type="spellStart"/>
            <w:r w:rsidRPr="00CC179F">
              <w:rPr>
                <w:sz w:val="18"/>
                <w:lang w:bidi="ar-SA"/>
              </w:rPr>
              <w:t>Mansouri</w:t>
            </w:r>
            <w:proofErr w:type="spellEnd"/>
            <w:r w:rsidRPr="00CC179F">
              <w:rPr>
                <w:sz w:val="18"/>
                <w:lang w:bidi="ar-SA"/>
              </w:rPr>
              <w:t xml:space="preserve"> K. Study of transected sciatic nerve repair by amniotic membrane with betamethasone in adult albino wistar rats. Arch Iran Med. 2016; 19(9): 612 – 617.</w:t>
            </w:r>
          </w:p>
        </w:tc>
      </w:tr>
      <w:tr w:rsidR="007E5608" w:rsidRPr="00FB2EFF" w:rsidTr="007E5608">
        <w:trPr>
          <w:trHeight w:val="571"/>
        </w:trPr>
        <w:tc>
          <w:tcPr>
            <w:tcW w:w="5118" w:type="dxa"/>
          </w:tcPr>
          <w:p w:rsidR="007E5608" w:rsidRPr="00CC179F" w:rsidRDefault="007E5608" w:rsidP="007E5608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84"/>
              </w:tabs>
              <w:spacing w:before="103" w:line="216" w:lineRule="exact"/>
              <w:ind w:right="138" w:hanging="283"/>
              <w:rPr>
                <w:sz w:val="18"/>
                <w:lang w:bidi="ar-SA"/>
              </w:rPr>
            </w:pPr>
            <w:r w:rsidRPr="00CC179F">
              <w:rPr>
                <w:sz w:val="18"/>
                <w:lang w:bidi="ar-SA"/>
              </w:rPr>
              <w:t xml:space="preserve">Mehrnaz </w:t>
            </w:r>
            <w:proofErr w:type="spellStart"/>
            <w:r w:rsidRPr="00CC179F">
              <w:rPr>
                <w:sz w:val="18"/>
                <w:lang w:bidi="ar-SA"/>
              </w:rPr>
              <w:t>Moattari</w:t>
            </w:r>
            <w:proofErr w:type="spellEnd"/>
            <w:r w:rsidRPr="00CC179F">
              <w:rPr>
                <w:sz w:val="18"/>
                <w:lang w:bidi="ar-SA"/>
              </w:rPr>
              <w:t xml:space="preserve">, </w:t>
            </w:r>
            <w:proofErr w:type="spellStart"/>
            <w:r w:rsidRPr="00CC179F">
              <w:rPr>
                <w:sz w:val="18"/>
                <w:lang w:bidi="ar-SA"/>
              </w:rPr>
              <w:t>Homa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Mohseni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Kouchesfehani</w:t>
            </w:r>
            <w:proofErr w:type="spellEnd"/>
            <w:r w:rsidRPr="00CC179F">
              <w:rPr>
                <w:sz w:val="18"/>
                <w:lang w:bidi="ar-SA"/>
              </w:rPr>
              <w:t xml:space="preserve">, Gholamreza Kaka, </w:t>
            </w:r>
            <w:proofErr w:type="spellStart"/>
            <w:r w:rsidRPr="00CC179F">
              <w:rPr>
                <w:sz w:val="18"/>
                <w:lang w:bidi="ar-SA"/>
              </w:rPr>
              <w:t>Seyed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Homayoon</w:t>
            </w:r>
            <w:proofErr w:type="spellEnd"/>
            <w:r w:rsidRPr="00CC179F">
              <w:rPr>
                <w:sz w:val="18"/>
                <w:lang w:bidi="ar-SA"/>
              </w:rPr>
              <w:t xml:space="preserve"> Sadraie, </w:t>
            </w:r>
            <w:proofErr w:type="spellStart"/>
            <w:r w:rsidRPr="00CC179F">
              <w:rPr>
                <w:sz w:val="18"/>
                <w:lang w:bidi="ar-SA"/>
              </w:rPr>
              <w:t>Majid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Naghdi</w:t>
            </w:r>
            <w:proofErr w:type="spellEnd"/>
            <w:r w:rsidRPr="00CC179F">
              <w:rPr>
                <w:sz w:val="18"/>
                <w:lang w:bidi="ar-SA"/>
              </w:rPr>
              <w:t>. Using Chitosan/</w:t>
            </w:r>
            <w:proofErr w:type="spellStart"/>
            <w:r w:rsidRPr="00CC179F">
              <w:rPr>
                <w:sz w:val="18"/>
                <w:lang w:bidi="ar-SA"/>
              </w:rPr>
              <w:t>polyethylen</w:t>
            </w:r>
            <w:proofErr w:type="spellEnd"/>
            <w:r w:rsidRPr="00CC179F">
              <w:rPr>
                <w:sz w:val="18"/>
                <w:lang w:bidi="ar-SA"/>
              </w:rPr>
              <w:t xml:space="preserve"> Oxide (Cs/PEO) as a Scaffold and Wharton Jelly-derived Mesenchymal Stem Cell Transplantation on the Repair of </w:t>
            </w:r>
            <w:proofErr w:type="spellStart"/>
            <w:r w:rsidRPr="00CC179F">
              <w:rPr>
                <w:sz w:val="18"/>
                <w:lang w:bidi="ar-SA"/>
              </w:rPr>
              <w:t>Transcected</w:t>
            </w:r>
            <w:proofErr w:type="spellEnd"/>
            <w:r w:rsidRPr="00CC179F">
              <w:rPr>
                <w:sz w:val="18"/>
                <w:lang w:bidi="ar-SA"/>
              </w:rPr>
              <w:t xml:space="preserve"> Sciatic Nerve in Wistar Rats: A Behavioral and Histological Study. J </w:t>
            </w:r>
            <w:proofErr w:type="spellStart"/>
            <w:r w:rsidRPr="00CC179F">
              <w:rPr>
                <w:sz w:val="18"/>
                <w:lang w:bidi="ar-SA"/>
              </w:rPr>
              <w:t>Mazandaran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Univ</w:t>
            </w:r>
            <w:proofErr w:type="spellEnd"/>
            <w:r w:rsidRPr="00CC179F">
              <w:rPr>
                <w:sz w:val="18"/>
                <w:lang w:bidi="ar-SA"/>
              </w:rPr>
              <w:t xml:space="preserve"> Med </w:t>
            </w:r>
            <w:proofErr w:type="spellStart"/>
            <w:r w:rsidRPr="00CC179F">
              <w:rPr>
                <w:sz w:val="18"/>
                <w:lang w:bidi="ar-SA"/>
              </w:rPr>
              <w:t>Sci</w:t>
            </w:r>
            <w:proofErr w:type="spellEnd"/>
            <w:r w:rsidRPr="00CC179F">
              <w:rPr>
                <w:sz w:val="18"/>
                <w:lang w:bidi="ar-SA"/>
              </w:rPr>
              <w:t xml:space="preserve"> 2016; 26(133): 196-205 (Persian).</w:t>
            </w:r>
          </w:p>
        </w:tc>
      </w:tr>
      <w:tr w:rsidR="007E5608" w:rsidRPr="00FB2EFF" w:rsidTr="007E5608">
        <w:trPr>
          <w:trHeight w:val="454"/>
        </w:trPr>
        <w:tc>
          <w:tcPr>
            <w:tcW w:w="5118" w:type="dxa"/>
          </w:tcPr>
          <w:p w:rsidR="007E5608" w:rsidRPr="00CC179F" w:rsidRDefault="007E5608" w:rsidP="007E5608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84"/>
              </w:tabs>
              <w:spacing w:before="103" w:line="216" w:lineRule="exact"/>
              <w:ind w:right="138" w:hanging="283"/>
              <w:rPr>
                <w:sz w:val="18"/>
                <w:lang w:bidi="ar-SA"/>
              </w:rPr>
            </w:pPr>
            <w:r w:rsidRPr="00CC179F">
              <w:rPr>
                <w:sz w:val="18"/>
                <w:lang w:bidi="ar-SA"/>
              </w:rPr>
              <w:t xml:space="preserve">Mehrnaz </w:t>
            </w:r>
            <w:proofErr w:type="spellStart"/>
            <w:r w:rsidRPr="00CC179F">
              <w:rPr>
                <w:sz w:val="18"/>
                <w:lang w:bidi="ar-SA"/>
              </w:rPr>
              <w:t>Moattari</w:t>
            </w:r>
            <w:proofErr w:type="spellEnd"/>
            <w:r w:rsidRPr="00CC179F">
              <w:rPr>
                <w:sz w:val="18"/>
                <w:lang w:bidi="ar-SA"/>
              </w:rPr>
              <w:t xml:space="preserve">, </w:t>
            </w:r>
            <w:proofErr w:type="spellStart"/>
            <w:r w:rsidRPr="00CC179F">
              <w:rPr>
                <w:sz w:val="18"/>
                <w:lang w:bidi="ar-SA"/>
              </w:rPr>
              <w:t>Homa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Mohseni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Kouchesfehani</w:t>
            </w:r>
            <w:proofErr w:type="spellEnd"/>
            <w:r w:rsidRPr="00CC179F">
              <w:rPr>
                <w:sz w:val="18"/>
                <w:lang w:bidi="ar-SA"/>
              </w:rPr>
              <w:t xml:space="preserve">, Gholamreza Kaka, </w:t>
            </w:r>
            <w:proofErr w:type="spellStart"/>
            <w:r w:rsidRPr="00CC179F">
              <w:rPr>
                <w:sz w:val="18"/>
                <w:lang w:bidi="ar-SA"/>
              </w:rPr>
              <w:t>Seyed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Homayoon</w:t>
            </w:r>
            <w:proofErr w:type="spellEnd"/>
            <w:r w:rsidRPr="00CC179F">
              <w:rPr>
                <w:sz w:val="18"/>
                <w:lang w:bidi="ar-SA"/>
              </w:rPr>
              <w:t xml:space="preserve"> Sadraie, </w:t>
            </w:r>
            <w:proofErr w:type="spellStart"/>
            <w:r w:rsidRPr="00CC179F">
              <w:rPr>
                <w:sz w:val="18"/>
                <w:lang w:bidi="ar-SA"/>
              </w:rPr>
              <w:t>Majid</w:t>
            </w:r>
            <w:proofErr w:type="spellEnd"/>
            <w:r w:rsidRPr="00CC179F">
              <w:rPr>
                <w:sz w:val="18"/>
                <w:lang w:bidi="ar-SA"/>
              </w:rPr>
              <w:t xml:space="preserve"> </w:t>
            </w:r>
            <w:proofErr w:type="spellStart"/>
            <w:r w:rsidRPr="00CC179F">
              <w:rPr>
                <w:sz w:val="18"/>
                <w:lang w:bidi="ar-SA"/>
              </w:rPr>
              <w:t>Naghdi</w:t>
            </w:r>
            <w:proofErr w:type="spellEnd"/>
            <w:r w:rsidRPr="00CC179F">
              <w:rPr>
                <w:sz w:val="18"/>
                <w:lang w:bidi="ar-SA"/>
              </w:rPr>
              <w:t>. Study of transected sciatic nerve repair by biodegradable membrane and betamethasone in adult albino wistar rats. Turkish Neurosurgery. Accepted article.</w:t>
            </w:r>
          </w:p>
        </w:tc>
      </w:tr>
    </w:tbl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B4496B" w:rsidRPr="00B4496B" w:rsidRDefault="00B4496B" w:rsidP="00B4496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4496B">
        <w:rPr>
          <w:rFonts w:ascii="Arial"/>
          <w:sz w:val="14"/>
        </w:rPr>
        <w:t xml:space="preserve">My name is Mehrnaz </w:t>
      </w:r>
      <w:proofErr w:type="spellStart"/>
      <w:r w:rsidRPr="00B4496B">
        <w:rPr>
          <w:rFonts w:ascii="Arial"/>
          <w:sz w:val="14"/>
        </w:rPr>
        <w:t>Moattari</w:t>
      </w:r>
      <w:proofErr w:type="spellEnd"/>
      <w:r w:rsidRPr="00B4496B">
        <w:rPr>
          <w:rFonts w:ascii="Arial"/>
          <w:sz w:val="14"/>
        </w:rPr>
        <w:t>. My interest lies broadly in the area of neuroscience. More specifically, during my doctoral studies I have worked on nerve regeneration. For my dissertation I was working on" Study of transected sciatic nerve repair by chitosan</w:t>
      </w:r>
      <w:r w:rsidRPr="00B4496B">
        <w:rPr>
          <w:rFonts w:ascii="Arial"/>
          <w:sz w:val="14"/>
          <w:rtl/>
        </w:rPr>
        <w:t>/</w:t>
      </w:r>
      <w:r w:rsidRPr="00B4496B">
        <w:rPr>
          <w:rFonts w:ascii="Arial"/>
          <w:sz w:val="14"/>
        </w:rPr>
        <w:t>Polyethylene oxide scaffold and human mesenchymal stem cells from Wharton's jelly in rats".</w:t>
      </w:r>
    </w:p>
    <w:p w:rsidR="00AE3E37" w:rsidRDefault="00A9710C" w:rsidP="00FD786E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D786E" w:rsidRPr="002A3E8E">
          <w:rPr>
            <w:rStyle w:val="Hyperlink"/>
            <w:rFonts w:ascii="Arial"/>
            <w:sz w:val="14"/>
          </w:rPr>
          <w:t>mhr.moattari@gmail.com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9710C" w:rsidP="00FD786E">
      <w:pPr>
        <w:spacing w:before="39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FD786E">
        <w:rPr>
          <w:rFonts w:ascii="Minion Pro"/>
          <w:sz w:val="24"/>
        </w:rPr>
        <w:t xml:space="preserve"> We thank Pr</w:t>
      </w:r>
      <w:r w:rsidR="007E5608">
        <w:rPr>
          <w:rFonts w:ascii="Minion Pro"/>
          <w:sz w:val="24"/>
        </w:rPr>
        <w:t>o</w:t>
      </w:r>
      <w:bookmarkStart w:id="0" w:name="_GoBack"/>
      <w:bookmarkEnd w:id="0"/>
      <w:r w:rsidR="00FD786E">
        <w:rPr>
          <w:rFonts w:ascii="Minion Pro"/>
          <w:sz w:val="24"/>
        </w:rPr>
        <w:t xml:space="preserve">f. </w:t>
      </w:r>
      <w:proofErr w:type="spellStart"/>
      <w:r w:rsidR="00FD786E">
        <w:rPr>
          <w:rFonts w:ascii="Minion Pro"/>
          <w:sz w:val="24"/>
        </w:rPr>
        <w:t>Hedayat</w:t>
      </w:r>
      <w:proofErr w:type="spellEnd"/>
      <w:r w:rsidR="00FD786E">
        <w:rPr>
          <w:rFonts w:ascii="Minion Pro"/>
          <w:sz w:val="24"/>
        </w:rPr>
        <w:t xml:space="preserve"> </w:t>
      </w:r>
      <w:proofErr w:type="spellStart"/>
      <w:r w:rsidR="00FD786E">
        <w:rPr>
          <w:rFonts w:ascii="Minion Pro"/>
          <w:sz w:val="24"/>
        </w:rPr>
        <w:t>Sahraie</w:t>
      </w:r>
      <w:proofErr w:type="spellEnd"/>
      <w:r w:rsidR="00FD786E">
        <w:rPr>
          <w:rFonts w:ascii="Minion Pro"/>
          <w:sz w:val="24"/>
        </w:rPr>
        <w:t xml:space="preserve"> and Dr. </w:t>
      </w:r>
      <w:proofErr w:type="spellStart"/>
      <w:r w:rsidR="00FD786E">
        <w:rPr>
          <w:rFonts w:ascii="Minion Pro"/>
          <w:sz w:val="24"/>
        </w:rPr>
        <w:t>Boshra</w:t>
      </w:r>
      <w:proofErr w:type="spellEnd"/>
      <w:r w:rsidR="00FD786E">
        <w:rPr>
          <w:rFonts w:ascii="Minion Pro"/>
          <w:sz w:val="24"/>
        </w:rPr>
        <w:t xml:space="preserve"> </w:t>
      </w:r>
      <w:proofErr w:type="spellStart"/>
      <w:r w:rsidR="00FD786E">
        <w:rPr>
          <w:rFonts w:ascii="Minion Pro"/>
          <w:sz w:val="24"/>
        </w:rPr>
        <w:t>Hatef</w:t>
      </w:r>
      <w:proofErr w:type="spellEnd"/>
      <w:r w:rsidR="00FD786E">
        <w:rPr>
          <w:rFonts w:ascii="Minion Pro"/>
          <w:sz w:val="24"/>
        </w:rPr>
        <w:t xml:space="preserve"> for kind considerations. 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4C4" w:rsidRDefault="00FC04C4">
      <w:r>
        <w:separator/>
      </w:r>
    </w:p>
  </w:endnote>
  <w:endnote w:type="continuationSeparator" w:id="0">
    <w:p w:rsidR="00FC04C4" w:rsidRDefault="00FC0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4C4" w:rsidRDefault="00FC04C4">
      <w:r>
        <w:separator/>
      </w:r>
    </w:p>
  </w:footnote>
  <w:footnote w:type="continuationSeparator" w:id="0">
    <w:p w:rsidR="00FC04C4" w:rsidRDefault="00FC0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E5608"/>
    <w:rsid w:val="00873DF0"/>
    <w:rsid w:val="008756E6"/>
    <w:rsid w:val="008A08B6"/>
    <w:rsid w:val="009B2D44"/>
    <w:rsid w:val="00A07E82"/>
    <w:rsid w:val="00A9710C"/>
    <w:rsid w:val="00AE3E37"/>
    <w:rsid w:val="00B21A57"/>
    <w:rsid w:val="00B4496B"/>
    <w:rsid w:val="00C33602"/>
    <w:rsid w:val="00CD6F55"/>
    <w:rsid w:val="00DE3104"/>
    <w:rsid w:val="00E26B10"/>
    <w:rsid w:val="00F72EEA"/>
    <w:rsid w:val="00F84CAE"/>
    <w:rsid w:val="00FC04C4"/>
    <w:rsid w:val="00FC55FC"/>
    <w:rsid w:val="00FD7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">
    <w:name w:val="st"/>
    <w:rsid w:val="00B4496B"/>
  </w:style>
  <w:style w:type="table" w:styleId="TableGrid">
    <w:name w:val="Table Grid"/>
    <w:basedOn w:val="TableNormal"/>
    <w:uiPriority w:val="59"/>
    <w:rsid w:val="007E5608"/>
    <w:pPr>
      <w:widowControl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">
    <w:name w:val="st"/>
    <w:rsid w:val="00B4496B"/>
  </w:style>
  <w:style w:type="table" w:styleId="TableGrid">
    <w:name w:val="Table Grid"/>
    <w:basedOn w:val="TableNormal"/>
    <w:uiPriority w:val="59"/>
    <w:rsid w:val="007E5608"/>
    <w:pPr>
      <w:widowControl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hr.moattari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mehrnaz</cp:lastModifiedBy>
  <cp:revision>3</cp:revision>
  <dcterms:created xsi:type="dcterms:W3CDTF">2018-07-12T12:44:00Z</dcterms:created>
  <dcterms:modified xsi:type="dcterms:W3CDTF">2018-07-12T12:46:00Z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