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A76" w:rsidRDefault="007A6A76" w:rsidP="007A6A76">
      <w:pPr>
        <w:pStyle w:val="Heading1"/>
        <w:spacing w:before="170"/>
        <w:ind w:left="0"/>
      </w:pPr>
      <w:r w:rsidRPr="00490FF6">
        <w:rPr>
          <w:color w:val="337AB7"/>
        </w:rPr>
        <w:t xml:space="preserve">THIRD GENERATION CEPHALOSPORINS USE IN A TERTIARY HOSPITAL: NEED FOR AN ANTIBIOTIC POLICY </w:t>
      </w:r>
    </w:p>
    <w:p w:rsidR="007A6A76" w:rsidRDefault="007A6A76" w:rsidP="007A6A76">
      <w:pPr>
        <w:pStyle w:val="BodyText"/>
        <w:spacing w:before="73" w:line="198" w:lineRule="exact"/>
        <w:ind w:right="5987"/>
        <w:rPr>
          <w:rFonts w:ascii="Arial"/>
        </w:rPr>
      </w:pPr>
      <w:r>
        <w:rPr>
          <w:rFonts w:ascii="Arial"/>
        </w:rPr>
        <w:t>Dr. Suresh DK, Department of Pharmacology, Pulla Reddy Institute of Pharmacy, Hyderabad, India.</w:t>
      </w:r>
    </w:p>
    <w:p w:rsidR="007A6A76" w:rsidRDefault="007A6A76" w:rsidP="007A6A76">
      <w:pPr>
        <w:pStyle w:val="BodyText"/>
        <w:rPr>
          <w:rFonts w:ascii="Arial"/>
          <w:sz w:val="20"/>
        </w:rPr>
      </w:pPr>
    </w:p>
    <w:p w:rsidR="007A6A76" w:rsidRDefault="007A6A76" w:rsidP="007A6A76">
      <w:pPr>
        <w:pStyle w:val="BodyText"/>
        <w:spacing w:before="3"/>
        <w:rPr>
          <w:rFonts w:ascii="Arial"/>
          <w:sz w:val="21"/>
        </w:rPr>
      </w:pPr>
    </w:p>
    <w:p w:rsidR="007A6A76" w:rsidRDefault="007A6A76" w:rsidP="007A6A76">
      <w:pPr>
        <w:rPr>
          <w:rFonts w:ascii="Arial"/>
          <w:sz w:val="21"/>
        </w:rPr>
        <w:sectPr w:rsidR="007A6A76" w:rsidSect="007A6A76">
          <w:headerReference w:type="default" r:id="rId7"/>
          <w:footerReference w:type="default" r:id="rId8"/>
          <w:type w:val="continuous"/>
          <w:pgSz w:w="11910" w:h="16840"/>
          <w:pgMar w:top="709" w:right="600" w:bottom="840" w:left="620" w:header="541" w:footer="642" w:gutter="0"/>
          <w:cols w:space="720"/>
        </w:sectPr>
      </w:pPr>
    </w:p>
    <w:p w:rsidR="007A6A76" w:rsidRDefault="007A6A76" w:rsidP="007A6A76">
      <w:pPr>
        <w:pStyle w:val="Heading3"/>
        <w:spacing w:before="147"/>
        <w:jc w:val="both"/>
      </w:pPr>
      <w:r>
        <w:rPr>
          <w:color w:val="BF5A14"/>
        </w:rPr>
        <w:lastRenderedPageBreak/>
        <w:t xml:space="preserve">Abstract </w:t>
      </w:r>
    </w:p>
    <w:p w:rsidR="007A6A76" w:rsidRDefault="007A6A76" w:rsidP="007A6A76">
      <w:pPr>
        <w:pStyle w:val="BodyText"/>
        <w:spacing w:before="90" w:line="280" w:lineRule="auto"/>
        <w:ind w:left="100"/>
        <w:jc w:val="both"/>
      </w:pPr>
      <w:r>
        <w:t xml:space="preserve">Appropriate Use of antibiotics is central to limiting the development and the spread of resistant bacteria in hospitals and communities. Use of broad spectrum antibiotics, in particular, the third generation cephalosporin in nosocomial infections have been linked to the emergence of antibiotic resistance and increase in costs. The hospital setting is particularly conductive to the development of antibiotic resistance as patients who are severely ill, immunocompromised or have devices in them are likely to receive frequent courses of empirical or prophylactic antibiotic therapy. Furthermore, the absences of guidelines for antibiotic use, protocols for rational therapeutics and infection control committees have led to over use and misuse of antimicrobials in different specialization units in hospitals. To study highlights the need for an antibiotic audit and invites an ongoing peer audit.To develop consensus guidelines for rational use of these drugs in hospitals. A prospective observational study with a sample size of 221 patients in a period of 6 months was conducted. Clinical data of patients (&gt;13 years) of tertiary care hospital, who had received third generation cephalosporins based on the record. The Stanford Guide 2019  is used to determine the appropriateness of therapy. A total of 221 cases were evaluated under the prospective observational study, out of which 89 cases were appropriate and 132 cases were inappropriate. After analysing all the cases prescribed with third generation cephalosporins i.e. 221, 89 cases were appropriate and 132 cases were inappropriate </w:t>
      </w:r>
    </w:p>
    <w:p w:rsidR="007A6A76" w:rsidRDefault="007A6A76" w:rsidP="007A6A76">
      <w:pPr>
        <w:pStyle w:val="BodyText"/>
        <w:spacing w:before="90" w:line="280" w:lineRule="auto"/>
        <w:ind w:left="100"/>
        <w:jc w:val="both"/>
      </w:pPr>
      <w:r>
        <w:t>Hence it can be concluded that inappropriateness of drug therapy of 3rd generation cephalosporins can lead to antimicrobial resistance.</w:t>
      </w:r>
    </w:p>
    <w:p w:rsidR="007A6A76" w:rsidRDefault="007A6A76" w:rsidP="007A6A76">
      <w:pPr>
        <w:pStyle w:val="Heading3"/>
        <w:spacing w:before="74"/>
      </w:pPr>
      <w:r>
        <w:rPr>
          <w:b w:val="0"/>
        </w:rPr>
        <w:br w:type="column"/>
      </w:r>
      <w:r>
        <w:rPr>
          <w:color w:val="BF5A14"/>
        </w:rPr>
        <w:lastRenderedPageBreak/>
        <w:t>Image</w:t>
      </w:r>
    </w:p>
    <w:p w:rsidR="007A6A76" w:rsidRDefault="007A6A76" w:rsidP="007A6A76">
      <w:pPr>
        <w:pStyle w:val="BodyText"/>
        <w:spacing w:before="2"/>
        <w:rPr>
          <w:rFonts w:ascii="Arial"/>
          <w:b/>
          <w:sz w:val="16"/>
        </w:rPr>
      </w:pPr>
      <w:r>
        <w:rPr>
          <w:rFonts w:ascii="Arial"/>
          <w:b/>
          <w:noProof/>
          <w:sz w:val="16"/>
          <w:lang w:val="en-IN" w:eastAsia="en-IN"/>
        </w:rPr>
        <w:drawing>
          <wp:inline distT="0" distB="0" distL="0" distR="0">
            <wp:extent cx="3160178" cy="2209190"/>
            <wp:effectExtent l="19050" t="0" r="2122"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160395" cy="2209341"/>
                    </a:xfrm>
                    <a:prstGeom prst="rect">
                      <a:avLst/>
                    </a:prstGeom>
                    <a:noFill/>
                    <a:ln w="9525">
                      <a:noFill/>
                      <a:miter lim="800000"/>
                      <a:headEnd/>
                      <a:tailEnd/>
                    </a:ln>
                  </pic:spPr>
                </pic:pic>
              </a:graphicData>
            </a:graphic>
          </wp:inline>
        </w:drawing>
      </w:r>
    </w:p>
    <w:p w:rsidR="007A6A76" w:rsidRDefault="007A6A76" w:rsidP="007A6A76">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831611" w:rsidRPr="00831611" w:rsidRDefault="00831611" w:rsidP="007A6A76">
      <w:pPr>
        <w:pStyle w:val="ListParagraph"/>
        <w:numPr>
          <w:ilvl w:val="0"/>
          <w:numId w:val="3"/>
        </w:numPr>
        <w:tabs>
          <w:tab w:val="left" w:pos="384"/>
        </w:tabs>
        <w:spacing w:before="0" w:line="216" w:lineRule="exact"/>
        <w:ind w:right="138" w:hanging="283"/>
        <w:rPr>
          <w:sz w:val="18"/>
        </w:rPr>
      </w:pPr>
      <w:r w:rsidRPr="00831611">
        <w:rPr>
          <w:sz w:val="18"/>
        </w:rPr>
        <w:t>Analysis of the mechanism of  the clinically relevant drug-drug interaction between  sitagliptine and temsirolimus.Irania Journal of Pharmaceutical Research. Vol.18 (2) 2013, 46-52</w:t>
      </w:r>
    </w:p>
    <w:p w:rsidR="00831611" w:rsidRPr="00831611" w:rsidRDefault="00831611" w:rsidP="007A6A76">
      <w:pPr>
        <w:pStyle w:val="ListParagraph"/>
        <w:numPr>
          <w:ilvl w:val="0"/>
          <w:numId w:val="3"/>
        </w:numPr>
        <w:tabs>
          <w:tab w:val="left" w:pos="384"/>
        </w:tabs>
        <w:spacing w:before="0" w:line="216" w:lineRule="exact"/>
        <w:ind w:right="138" w:hanging="283"/>
        <w:rPr>
          <w:sz w:val="18"/>
        </w:rPr>
      </w:pPr>
      <w:r w:rsidRPr="00831611">
        <w:rPr>
          <w:sz w:val="18"/>
        </w:rPr>
        <w:t>Pharmacological evaluation of Nicotinic acid on the efficacy of Interlukine-2 for the    treatment of renal cell carcinoma. Published in Advances in Pharmacology and   Toxicology.Vol.23 (2) 2013, 36-72</w:t>
      </w:r>
    </w:p>
    <w:p w:rsidR="00831611" w:rsidRPr="00831611" w:rsidRDefault="00831611" w:rsidP="007A6A76">
      <w:pPr>
        <w:pStyle w:val="ListParagraph"/>
        <w:numPr>
          <w:ilvl w:val="0"/>
          <w:numId w:val="3"/>
        </w:numPr>
        <w:tabs>
          <w:tab w:val="left" w:pos="384"/>
        </w:tabs>
        <w:spacing w:before="0" w:line="216" w:lineRule="exact"/>
        <w:ind w:right="138" w:hanging="283"/>
        <w:rPr>
          <w:sz w:val="18"/>
        </w:rPr>
      </w:pPr>
      <w:r w:rsidRPr="00831611">
        <w:rPr>
          <w:sz w:val="18"/>
        </w:rPr>
        <w:t>A</w:t>
      </w:r>
      <w:r>
        <w:rPr>
          <w:sz w:val="18"/>
        </w:rPr>
        <w:t xml:space="preserve"> </w:t>
      </w:r>
      <w:r w:rsidRPr="00831611">
        <w:rPr>
          <w:sz w:val="18"/>
        </w:rPr>
        <w:t>combined model for predicting Cyp3A4 clinical net drug to drug interaction,based on Cyp3A4 inhibition. Published in Acta Pharmaceutica Sciencia 59 : 122-127 (2013).</w:t>
      </w:r>
    </w:p>
    <w:p w:rsidR="00831611" w:rsidRPr="00831611" w:rsidRDefault="00831611" w:rsidP="007A6A76">
      <w:pPr>
        <w:pStyle w:val="ListParagraph"/>
        <w:numPr>
          <w:ilvl w:val="0"/>
          <w:numId w:val="3"/>
        </w:numPr>
        <w:tabs>
          <w:tab w:val="left" w:pos="384"/>
        </w:tabs>
        <w:spacing w:before="0" w:line="216" w:lineRule="exact"/>
        <w:ind w:right="138" w:hanging="283"/>
        <w:rPr>
          <w:sz w:val="18"/>
        </w:rPr>
      </w:pPr>
      <w:r w:rsidRPr="00831611">
        <w:rPr>
          <w:sz w:val="18"/>
        </w:rPr>
        <w:t>Anti-hepatotoxic and antioxidant influence of Ipomoea carnea against anti-tubecular       drugs induced acute hepatopathy in experimental rodents.Journal of Costal Life      Medicine.2013,1(4),281-287.</w:t>
      </w:r>
    </w:p>
    <w:p w:rsidR="00831611" w:rsidRPr="00831611" w:rsidRDefault="00831611" w:rsidP="007A6A76">
      <w:pPr>
        <w:pStyle w:val="ListParagraph"/>
        <w:numPr>
          <w:ilvl w:val="0"/>
          <w:numId w:val="3"/>
        </w:numPr>
        <w:tabs>
          <w:tab w:val="left" w:pos="384"/>
        </w:tabs>
        <w:spacing w:before="0" w:line="216" w:lineRule="exact"/>
        <w:ind w:right="138" w:hanging="283"/>
        <w:rPr>
          <w:sz w:val="18"/>
        </w:rPr>
      </w:pPr>
      <w:r w:rsidRPr="00831611">
        <w:rPr>
          <w:sz w:val="18"/>
        </w:rPr>
        <w:t>“Influence of Metronidazole on the hypoglycemic effect of tolbutamide in       streptozotocin induced diabetic rats”. Published in Indian Drugs 50(8) January 2014.</w:t>
      </w:r>
    </w:p>
    <w:p w:rsidR="00E95AC5" w:rsidRPr="00E95AC5" w:rsidRDefault="00831611" w:rsidP="007A6A76">
      <w:pPr>
        <w:pStyle w:val="ListParagraph"/>
        <w:numPr>
          <w:ilvl w:val="0"/>
          <w:numId w:val="3"/>
        </w:numPr>
        <w:tabs>
          <w:tab w:val="left" w:pos="384"/>
        </w:tabs>
        <w:spacing w:before="0" w:line="216" w:lineRule="exact"/>
        <w:ind w:right="138" w:hanging="283"/>
        <w:rPr>
          <w:sz w:val="18"/>
          <w:szCs w:val="18"/>
        </w:rPr>
        <w:sectPr w:rsidR="00E95AC5" w:rsidRPr="00E95AC5" w:rsidSect="007A6A76">
          <w:headerReference w:type="default" r:id="rId10"/>
          <w:footerReference w:type="default" r:id="rId11"/>
          <w:type w:val="continuous"/>
          <w:pgSz w:w="11910" w:h="16840"/>
          <w:pgMar w:top="1105" w:right="600" w:bottom="840" w:left="620" w:header="720" w:footer="720" w:gutter="0"/>
          <w:cols w:num="2" w:space="720" w:equalWidth="0">
            <w:col w:w="5214" w:space="138"/>
            <w:col w:w="5338"/>
          </w:cols>
        </w:sectPr>
      </w:pPr>
      <w:r w:rsidRPr="00831611">
        <w:rPr>
          <w:sz w:val="18"/>
        </w:rPr>
        <w:t>Influence of Valproic acid on antidibetic effect of Sitagliptine in experimental      animals. Published in Journal of Pharmcology and Toxicology,2014.ISSN      1826.486X/DOI:10.3843/jpt.2014</w:t>
      </w:r>
      <w:r w:rsidR="00E95AC5">
        <w:rPr>
          <w:sz w:val="18"/>
          <w:szCs w:val="18"/>
        </w:rPr>
        <w:t>.</w:t>
      </w:r>
    </w:p>
    <w:p w:rsidR="00AE3E37" w:rsidRDefault="00AE3E37">
      <w:pPr>
        <w:pStyle w:val="BodyText"/>
        <w:rPr>
          <w:rFonts w:ascii="Calibri"/>
          <w:sz w:val="20"/>
        </w:rPr>
      </w:pPr>
    </w:p>
    <w:p w:rsidR="00AE3E37" w:rsidRDefault="008A578E">
      <w:pPr>
        <w:pStyle w:val="BodyText"/>
        <w:spacing w:line="40" w:lineRule="exact"/>
        <w:ind w:left="2202"/>
        <w:rPr>
          <w:rFonts w:ascii="Calibri"/>
          <w:sz w:val="4"/>
        </w:rPr>
      </w:pPr>
      <w:r>
        <w:rPr>
          <w:rFonts w:ascii="Calibri"/>
          <w:noProof/>
          <w:sz w:val="4"/>
          <w:lang w:val="en-IN" w:eastAsia="en-IN"/>
        </w:rPr>
      </w:r>
      <w:r w:rsidRPr="008A578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7A6A76" w:rsidRDefault="007A6A76" w:rsidP="00404E5B">
      <w:pPr>
        <w:spacing w:before="92"/>
        <w:ind w:right="4234"/>
        <w:rPr>
          <w:noProof/>
          <w:lang w:val="en-IN" w:eastAsia="en-IN"/>
        </w:rPr>
      </w:pPr>
    </w:p>
    <w:p w:rsidR="007A6A76" w:rsidRDefault="007A6A76" w:rsidP="00404E5B">
      <w:pPr>
        <w:spacing w:before="92"/>
        <w:ind w:right="4234"/>
        <w:rPr>
          <w:noProof/>
          <w:lang w:val="en-IN" w:eastAsia="en-IN"/>
        </w:rPr>
      </w:pPr>
      <w:r>
        <w:rPr>
          <w:noProof/>
          <w:lang w:val="en-IN" w:eastAsia="en-IN"/>
        </w:rPr>
        <w:drawing>
          <wp:anchor distT="0" distB="0" distL="114300" distR="114300" simplePos="0" relativeHeight="251658240" behindDoc="1" locked="0" layoutInCell="1" allowOverlap="1">
            <wp:simplePos x="0" y="0"/>
            <wp:positionH relativeFrom="column">
              <wp:posOffset>723900</wp:posOffset>
            </wp:positionH>
            <wp:positionV relativeFrom="paragraph">
              <wp:posOffset>206375</wp:posOffset>
            </wp:positionV>
            <wp:extent cx="758825" cy="855345"/>
            <wp:effectExtent l="1905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758825" cy="855345"/>
                    </a:xfrm>
                    <a:prstGeom prst="rect">
                      <a:avLst/>
                    </a:prstGeom>
                    <a:noFill/>
                    <a:ln w="9525">
                      <a:noFill/>
                      <a:miter lim="800000"/>
                      <a:headEnd/>
                      <a:tailEnd/>
                    </a:ln>
                  </pic:spPr>
                </pic:pic>
              </a:graphicData>
            </a:graphic>
          </wp:anchor>
        </w:drawing>
      </w:r>
    </w:p>
    <w:p w:rsidR="007A6A76" w:rsidRDefault="007A6A76" w:rsidP="00404E5B">
      <w:pPr>
        <w:spacing w:before="92"/>
        <w:ind w:right="4234"/>
        <w:rPr>
          <w:noProof/>
          <w:lang w:val="en-IN" w:eastAsia="en-IN"/>
        </w:rPr>
      </w:pPr>
    </w:p>
    <w:p w:rsidR="007A6A76" w:rsidRDefault="007A6A76" w:rsidP="00404E5B">
      <w:pPr>
        <w:spacing w:before="92"/>
        <w:ind w:right="4234"/>
        <w:rPr>
          <w:rFonts w:ascii="Arial"/>
          <w:color w:val="BF5A14"/>
        </w:rPr>
      </w:pPr>
    </w:p>
    <w:p w:rsidR="007A6A76" w:rsidRDefault="007A6A76"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793138" w:rsidRPr="00793138" w:rsidRDefault="00152BD9" w:rsidP="00793138">
      <w:pPr>
        <w:spacing w:before="41" w:line="154" w:lineRule="exact"/>
        <w:ind w:left="213" w:right="231"/>
        <w:jc w:val="both"/>
        <w:rPr>
          <w:rFonts w:ascii="Arial"/>
          <w:sz w:val="14"/>
        </w:rPr>
      </w:pPr>
      <w:r>
        <w:rPr>
          <w:rFonts w:ascii="Arial"/>
          <w:sz w:val="14"/>
        </w:rPr>
        <w:t>Dr.</w:t>
      </w:r>
      <w:r w:rsidR="00FA3770">
        <w:rPr>
          <w:rFonts w:ascii="Arial"/>
          <w:sz w:val="14"/>
        </w:rPr>
        <w:t>D</w:t>
      </w:r>
      <w:r>
        <w:rPr>
          <w:rFonts w:ascii="Arial"/>
          <w:sz w:val="14"/>
        </w:rPr>
        <w:t xml:space="preserve"> K. Suresh</w:t>
      </w:r>
      <w:r w:rsidR="00793138" w:rsidRPr="00793138">
        <w:rPr>
          <w:rFonts w:ascii="Arial"/>
          <w:sz w:val="14"/>
        </w:rPr>
        <w:t xml:space="preserve">, has his expertise in the </w:t>
      </w:r>
      <w:r>
        <w:rPr>
          <w:rFonts w:ascii="Arial"/>
          <w:sz w:val="14"/>
        </w:rPr>
        <w:t xml:space="preserve">various subjects related to Anatomy &amp; Physiology and Pharamacology &amp; Toxicology. </w:t>
      </w:r>
      <w:r w:rsidR="006D215C">
        <w:rPr>
          <w:rFonts w:ascii="Arial"/>
          <w:sz w:val="14"/>
        </w:rPr>
        <w:t>He has been in teaching field from past 24 yrs. He has good research experience. He has been guiding in</w:t>
      </w:r>
      <w:r w:rsidR="00DF634F">
        <w:rPr>
          <w:rFonts w:ascii="Arial"/>
          <w:sz w:val="14"/>
        </w:rPr>
        <w:t>to</w:t>
      </w:r>
      <w:r w:rsidR="006D215C">
        <w:rPr>
          <w:rFonts w:ascii="Arial"/>
          <w:sz w:val="14"/>
        </w:rPr>
        <w:t xml:space="preserve"> many post graduate and Ph. D projects.</w:t>
      </w:r>
      <w:r w:rsidR="00793138" w:rsidRPr="00793138">
        <w:rPr>
          <w:rFonts w:ascii="Arial"/>
          <w:sz w:val="14"/>
        </w:rPr>
        <w:t xml:space="preserve"> </w:t>
      </w:r>
    </w:p>
    <w:p w:rsidR="00793138" w:rsidRDefault="00793138" w:rsidP="00793138">
      <w:pPr>
        <w:spacing w:before="41" w:line="154" w:lineRule="exact"/>
        <w:ind w:left="213" w:right="231"/>
        <w:jc w:val="both"/>
        <w:rPr>
          <w:rFonts w:ascii="Arial"/>
          <w:sz w:val="14"/>
        </w:rPr>
      </w:pPr>
      <w:r w:rsidRPr="00793138">
        <w:rPr>
          <w:rFonts w:ascii="Arial"/>
          <w:sz w:val="14"/>
        </w:rPr>
        <w:t xml:space="preserve">Apart from this he </w:t>
      </w:r>
      <w:r w:rsidR="00DF634F">
        <w:rPr>
          <w:rFonts w:ascii="Arial"/>
          <w:sz w:val="14"/>
        </w:rPr>
        <w:t xml:space="preserve">has been serving as </w:t>
      </w:r>
      <w:r w:rsidRPr="00793138">
        <w:rPr>
          <w:rFonts w:ascii="Arial"/>
          <w:sz w:val="14"/>
        </w:rPr>
        <w:t>HOD of Pharmacy colleges from past 15 years</w:t>
      </w:r>
      <w:r w:rsidR="00DF634F">
        <w:rPr>
          <w:rFonts w:ascii="Arial"/>
          <w:sz w:val="14"/>
        </w:rPr>
        <w:t>in Pharmacology Department and Pharmacy Practice Department.</w:t>
      </w:r>
      <w:r w:rsidR="002B57C9">
        <w:rPr>
          <w:rFonts w:ascii="Arial"/>
          <w:sz w:val="14"/>
        </w:rPr>
        <w:t xml:space="preserve">  He has served</w:t>
      </w:r>
      <w:r w:rsidRPr="00793138">
        <w:rPr>
          <w:rFonts w:ascii="Arial"/>
          <w:sz w:val="14"/>
        </w:rPr>
        <w:t xml:space="preserve"> as</w:t>
      </w:r>
      <w:r w:rsidR="002B57C9">
        <w:rPr>
          <w:rFonts w:ascii="Arial"/>
          <w:sz w:val="14"/>
        </w:rPr>
        <w:t xml:space="preserve"> </w:t>
      </w:r>
      <w:r w:rsidR="002B57C9" w:rsidRPr="002B57C9">
        <w:rPr>
          <w:rFonts w:ascii="Arial"/>
          <w:sz w:val="14"/>
        </w:rPr>
        <w:t>M</w:t>
      </w:r>
      <w:r w:rsidR="002B57C9">
        <w:rPr>
          <w:rFonts w:ascii="Arial"/>
          <w:sz w:val="14"/>
        </w:rPr>
        <w:t xml:space="preserve">ember of Board of Studies (BOS), </w:t>
      </w:r>
      <w:r w:rsidR="002B57C9" w:rsidRPr="002B57C9">
        <w:rPr>
          <w:rFonts w:ascii="Arial"/>
          <w:sz w:val="14"/>
        </w:rPr>
        <w:t>Rajiv Gandhi University of Health Sciences, Bangalore, Karnataka, India</w:t>
      </w:r>
      <w:r w:rsidR="002B57C9">
        <w:rPr>
          <w:rFonts w:ascii="Arial"/>
          <w:sz w:val="14"/>
        </w:rPr>
        <w:t xml:space="preserve">. He was </w:t>
      </w:r>
      <w:r w:rsidRPr="00793138">
        <w:rPr>
          <w:rFonts w:ascii="Arial"/>
          <w:sz w:val="14"/>
        </w:rPr>
        <w:t>involved in disseminating the knowledge of Pharmacoeconomics, drug use and patient centered outc</w:t>
      </w:r>
      <w:r w:rsidR="002B57C9">
        <w:rPr>
          <w:rFonts w:ascii="Arial"/>
          <w:sz w:val="14"/>
        </w:rPr>
        <w:t>omes. He has published nearly 45</w:t>
      </w:r>
      <w:r w:rsidRPr="00793138">
        <w:rPr>
          <w:rFonts w:ascii="Arial"/>
          <w:sz w:val="14"/>
        </w:rPr>
        <w:t xml:space="preserve"> research publications in various national and international journals. </w:t>
      </w:r>
      <w:r w:rsidR="002B57C9">
        <w:rPr>
          <w:rFonts w:ascii="Arial"/>
          <w:sz w:val="14"/>
        </w:rPr>
        <w:t xml:space="preserve">He has given nearly 15 presentations in various national &amp; international symposiums.  </w:t>
      </w:r>
    </w:p>
    <w:p w:rsidR="00AE3E37" w:rsidRPr="00971F3B" w:rsidRDefault="00A9710C" w:rsidP="00971F3B">
      <w:pPr>
        <w:spacing w:before="62"/>
        <w:ind w:left="4217" w:right="4235"/>
        <w:jc w:val="center"/>
        <w:rPr>
          <w:rFonts w:ascii="Arial"/>
          <w:sz w:val="14"/>
        </w:rPr>
      </w:pPr>
      <w:r>
        <w:rPr>
          <w:rFonts w:ascii="Arial"/>
          <w:sz w:val="14"/>
        </w:rPr>
        <w:t>Email:</w:t>
      </w:r>
      <w:r w:rsidR="00793138">
        <w:rPr>
          <w:rFonts w:ascii="Arial"/>
          <w:sz w:val="14"/>
        </w:rPr>
        <w:t xml:space="preserve"> </w:t>
      </w:r>
      <w:hyperlink r:id="rId13" w:history="1">
        <w:r w:rsidR="0034545F" w:rsidRPr="0034545F">
          <w:rPr>
            <w:rStyle w:val="Hyperlink"/>
            <w:rFonts w:ascii="Arial"/>
            <w:sz w:val="14"/>
          </w:rPr>
          <w:t xml:space="preserve">dksuresha@gmail.com </w:t>
        </w:r>
      </w:hyperlink>
      <w:r w:rsidR="008A578E" w:rsidRPr="008A578E">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RPr="00971F3B" w:rsidSect="007A6A76">
      <w:type w:val="continuous"/>
      <w:pgSz w:w="11910" w:h="16840"/>
      <w:pgMar w:top="1105"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578" w:rsidRDefault="00FC6578">
      <w:r>
        <w:separator/>
      </w:r>
    </w:p>
  </w:endnote>
  <w:endnote w:type="continuationSeparator" w:id="1">
    <w:p w:rsidR="00FC6578" w:rsidRDefault="00FC65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A76" w:rsidRDefault="008A578E">
    <w:pPr>
      <w:pStyle w:val="BodyText"/>
      <w:spacing w:line="14" w:lineRule="auto"/>
      <w:rPr>
        <w:sz w:val="20"/>
      </w:rPr>
    </w:pPr>
    <w:r w:rsidRPr="008A578E">
      <w:rPr>
        <w:noProof/>
        <w:lang w:val="en-IN" w:eastAsia="en-IN"/>
      </w:rPr>
      <w:pict>
        <v:shapetype id="_x0000_t202" coordsize="21600,21600" o:spt="202" path="m,l,21600r21600,l21600,xe">
          <v:stroke joinstyle="miter"/>
          <v:path gradientshapeok="t" o:connecttype="rect"/>
        </v:shapetype>
        <v:shape id="_x0000_s4106" type="#_x0000_t202" style="position:absolute;margin-left:35pt;margin-top:798.8pt;width:168.2pt;height:19.6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7A6A76" w:rsidRPr="005B3A56" w:rsidRDefault="007A6A7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A6A76" w:rsidRPr="005B3A56" w:rsidRDefault="007A6A76">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A578E">
      <w:rPr>
        <w:noProof/>
        <w:lang w:val="en-IN" w:eastAsia="en-IN"/>
      </w:rPr>
      <w:pict>
        <v:shape id="_x0000_s4107" type="#_x0000_t202" style="position:absolute;margin-left:252.1pt;margin-top:799.05pt;width:91.9pt;height:24.9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7A6A76" w:rsidRPr="005B3A56" w:rsidRDefault="007A6A7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A6A76" w:rsidRPr="005B3A56" w:rsidRDefault="007A6A7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A578E">
      <w:rPr>
        <w:noProof/>
        <w:lang w:val="en-IN" w:eastAsia="en-IN"/>
      </w:rPr>
      <w:pict>
        <v:shape id="_x0000_s4108" type="#_x0000_t202" style="position:absolute;margin-left:468.9pt;margin-top:798.8pt;width:91.4pt;height:26.0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7A6A76" w:rsidRPr="005B3A56" w:rsidRDefault="007A6A76">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7A6A76" w:rsidRPr="005B3A56" w:rsidRDefault="007A6A7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A578E">
    <w:pPr>
      <w:pStyle w:val="BodyText"/>
      <w:spacing w:line="14" w:lineRule="auto"/>
      <w:rPr>
        <w:sz w:val="20"/>
      </w:rPr>
    </w:pPr>
    <w:r w:rsidRPr="008A578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251661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A578E">
      <w:rPr>
        <w:noProof/>
        <w:lang w:val="en-IN" w:eastAsia="en-IN"/>
      </w:rPr>
      <w:pict>
        <v:shape id="Text Box 2" o:spid="_x0000_s4098" type="#_x0000_t202" style="position:absolute;margin-left:252.1pt;margin-top:799.05pt;width:91.9pt;height:24.95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A578E">
      <w:rPr>
        <w:noProof/>
        <w:lang w:val="en-IN" w:eastAsia="en-IN"/>
      </w:rPr>
      <w:pict>
        <v:shape id="Text Box 1" o:spid="_x0000_s4097" type="#_x0000_t202" style="position:absolute;margin-left:468.9pt;margin-top:798.8pt;width:91.4pt;height:26.0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578" w:rsidRDefault="00FC6578">
      <w:r>
        <w:separator/>
      </w:r>
    </w:p>
  </w:footnote>
  <w:footnote w:type="continuationSeparator" w:id="1">
    <w:p w:rsidR="00FC6578" w:rsidRDefault="00FC65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A76" w:rsidRDefault="008A578E">
    <w:pPr>
      <w:pStyle w:val="BodyText"/>
      <w:spacing w:line="14" w:lineRule="auto"/>
      <w:rPr>
        <w:sz w:val="20"/>
      </w:rPr>
    </w:pPr>
    <w:r w:rsidRPr="008A578E">
      <w:rPr>
        <w:noProof/>
        <w:lang w:val="en-IN" w:eastAsia="en-IN"/>
      </w:rPr>
      <w:pict>
        <v:shapetype id="_x0000_t202" coordsize="21600,21600" o:spt="202" path="m,l,21600r21600,l21600,xe">
          <v:stroke joinstyle="miter"/>
          <v:path gradientshapeok="t" o:connecttype="rect"/>
        </v:shapetype>
        <v:shape id="_x0000_s4104" type="#_x0000_t202" style="position:absolute;margin-left:416pt;margin-top:26.05pt;width:144.3pt;height:17.4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7A6A76" w:rsidRPr="005B3A56" w:rsidRDefault="007A6A7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A578E">
      <w:rPr>
        <w:noProof/>
        <w:lang w:val="en-IN" w:eastAsia="en-IN"/>
      </w:rPr>
      <w:pict>
        <v:shape id="_x0000_s4105" type="#_x0000_t202" style="position:absolute;margin-left:35pt;margin-top:48.3pt;width:515.95pt;height:40.1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7A6A76" w:rsidRPr="005B3A56" w:rsidRDefault="007A6A7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A6A76" w:rsidRPr="005B3A56" w:rsidRDefault="007A6A7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A578E">
    <w:pPr>
      <w:pStyle w:val="BodyText"/>
      <w:spacing w:line="14" w:lineRule="auto"/>
      <w:rPr>
        <w:sz w:val="20"/>
      </w:rPr>
    </w:pPr>
    <w:r w:rsidRPr="008A578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251663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A578E">
      <w:rPr>
        <w:noProof/>
        <w:lang w:val="en-IN" w:eastAsia="en-IN"/>
      </w:rPr>
      <w:pict>
        <v:shape id="Text Box 4" o:spid="_x0000_s4100" type="#_x0000_t202" style="position:absolute;margin-left:35pt;margin-top:48.3pt;width:515.95pt;height:40.1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52BD9"/>
    <w:rsid w:val="002455EC"/>
    <w:rsid w:val="00292ED9"/>
    <w:rsid w:val="002B57C9"/>
    <w:rsid w:val="0034545F"/>
    <w:rsid w:val="00404E5B"/>
    <w:rsid w:val="00414F7B"/>
    <w:rsid w:val="004355DC"/>
    <w:rsid w:val="004749B4"/>
    <w:rsid w:val="00494130"/>
    <w:rsid w:val="004F3523"/>
    <w:rsid w:val="005128FB"/>
    <w:rsid w:val="005973B9"/>
    <w:rsid w:val="005B3A56"/>
    <w:rsid w:val="006060CE"/>
    <w:rsid w:val="006112F3"/>
    <w:rsid w:val="0063497F"/>
    <w:rsid w:val="006361EB"/>
    <w:rsid w:val="006D215C"/>
    <w:rsid w:val="00793138"/>
    <w:rsid w:val="007A6A76"/>
    <w:rsid w:val="007B44EE"/>
    <w:rsid w:val="00831611"/>
    <w:rsid w:val="00873DF0"/>
    <w:rsid w:val="008756E6"/>
    <w:rsid w:val="008A08B6"/>
    <w:rsid w:val="008A578E"/>
    <w:rsid w:val="00942CFE"/>
    <w:rsid w:val="00962CC5"/>
    <w:rsid w:val="00971F3B"/>
    <w:rsid w:val="009B2D44"/>
    <w:rsid w:val="009D5544"/>
    <w:rsid w:val="00A07E82"/>
    <w:rsid w:val="00A9710C"/>
    <w:rsid w:val="00AE3E37"/>
    <w:rsid w:val="00B21A57"/>
    <w:rsid w:val="00B362EC"/>
    <w:rsid w:val="00C33602"/>
    <w:rsid w:val="00CD6F55"/>
    <w:rsid w:val="00DE3104"/>
    <w:rsid w:val="00DF634F"/>
    <w:rsid w:val="00E26B10"/>
    <w:rsid w:val="00E95AC5"/>
    <w:rsid w:val="00F72EEA"/>
    <w:rsid w:val="00F84CAE"/>
    <w:rsid w:val="00FA3770"/>
    <w:rsid w:val="00FC55FC"/>
    <w:rsid w:val="00FC6578"/>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26969444">
      <w:bodyDiv w:val="1"/>
      <w:marLeft w:val="0"/>
      <w:marRight w:val="0"/>
      <w:marTop w:val="0"/>
      <w:marBottom w:val="0"/>
      <w:divBdr>
        <w:top w:val="none" w:sz="0" w:space="0" w:color="auto"/>
        <w:left w:val="none" w:sz="0" w:space="0" w:color="auto"/>
        <w:bottom w:val="none" w:sz="0" w:space="0" w:color="auto"/>
        <w:right w:val="none" w:sz="0" w:space="0" w:color="auto"/>
      </w:divBdr>
      <w:divsChild>
        <w:div w:id="716202391">
          <w:marLeft w:val="0"/>
          <w:marRight w:val="0"/>
          <w:marTop w:val="0"/>
          <w:marBottom w:val="115"/>
          <w:divBdr>
            <w:top w:val="none" w:sz="0" w:space="0" w:color="auto"/>
            <w:left w:val="none" w:sz="0" w:space="0" w:color="auto"/>
            <w:bottom w:val="none" w:sz="0" w:space="0" w:color="auto"/>
            <w:right w:val="none" w:sz="0" w:space="0" w:color="auto"/>
          </w:divBdr>
        </w:div>
        <w:div w:id="460850617">
          <w:marLeft w:val="0"/>
          <w:marRight w:val="0"/>
          <w:marTop w:val="0"/>
          <w:marBottom w:val="173"/>
          <w:divBdr>
            <w:top w:val="none" w:sz="0" w:space="0" w:color="auto"/>
            <w:left w:val="none" w:sz="0" w:space="0" w:color="auto"/>
            <w:bottom w:val="none" w:sz="0" w:space="0" w:color="auto"/>
            <w:right w:val="none" w:sz="0" w:space="0" w:color="auto"/>
          </w:divBdr>
          <w:divsChild>
            <w:div w:id="882714350">
              <w:marLeft w:val="0"/>
              <w:marRight w:val="0"/>
              <w:marTop w:val="0"/>
              <w:marBottom w:val="0"/>
              <w:divBdr>
                <w:top w:val="none" w:sz="0" w:space="0" w:color="auto"/>
                <w:left w:val="none" w:sz="0" w:space="0" w:color="auto"/>
                <w:bottom w:val="none" w:sz="0" w:space="0" w:color="auto"/>
                <w:right w:val="none" w:sz="0" w:space="0" w:color="auto"/>
              </w:divBdr>
              <w:divsChild>
                <w:div w:id="750926296">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04459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vrmgupta_05@yahoo.co.i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RAVINDRA BAGGI</cp:lastModifiedBy>
  <cp:revision>4</cp:revision>
  <dcterms:created xsi:type="dcterms:W3CDTF">2019-06-13T07:49:00Z</dcterms:created>
  <dcterms:modified xsi:type="dcterms:W3CDTF">2019-06-13T07:56:00Z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