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B4BEA9" w14:textId="0FC51B98" w:rsidR="00AE3E37" w:rsidRPr="00F45017" w:rsidRDefault="00F45017" w:rsidP="00494130">
      <w:pPr>
        <w:pStyle w:val="Heading1"/>
        <w:spacing w:before="170"/>
        <w:ind w:left="0"/>
        <w:rPr>
          <w:color w:val="337AB7"/>
        </w:rPr>
      </w:pPr>
      <w:r w:rsidRPr="00F45017">
        <w:rPr>
          <w:color w:val="337AB7"/>
        </w:rPr>
        <w:t>Novel Carbon Nanotubes Material in Amperometric Glucose Biosensor</w:t>
      </w:r>
    </w:p>
    <w:p w14:paraId="4DBE65B1" w14:textId="77777777" w:rsidR="00792C69" w:rsidRDefault="00E92CFF" w:rsidP="005973B9">
      <w:pPr>
        <w:pStyle w:val="BodyText"/>
        <w:spacing w:before="73" w:line="198" w:lineRule="exact"/>
        <w:ind w:left="100" w:right="5987"/>
        <w:rPr>
          <w:rFonts w:ascii="Arial"/>
        </w:rPr>
      </w:pPr>
      <w:r>
        <w:rPr>
          <w:rFonts w:ascii="Arial"/>
        </w:rPr>
        <w:t>Soheli Farhana</w:t>
      </w:r>
      <w:r w:rsidR="005973B9">
        <w:rPr>
          <w:rFonts w:ascii="Arial"/>
        </w:rPr>
        <w:t xml:space="preserve">, PhD </w:t>
      </w:r>
    </w:p>
    <w:p w14:paraId="10033F86" w14:textId="22F936F7" w:rsidR="005973B9" w:rsidRDefault="00E92CFF" w:rsidP="005973B9">
      <w:pPr>
        <w:pStyle w:val="BodyText"/>
        <w:spacing w:before="73" w:line="198" w:lineRule="exact"/>
        <w:ind w:left="100" w:right="5987"/>
        <w:rPr>
          <w:rFonts w:ascii="Arial"/>
        </w:rPr>
      </w:pPr>
      <w:r>
        <w:rPr>
          <w:rFonts w:ascii="Arial"/>
        </w:rPr>
        <w:t>MIIT</w:t>
      </w:r>
      <w:r w:rsidR="005973B9">
        <w:rPr>
          <w:rFonts w:ascii="Arial"/>
        </w:rPr>
        <w:t xml:space="preserve">, </w:t>
      </w:r>
      <w:proofErr w:type="spellStart"/>
      <w:r>
        <w:rPr>
          <w:rFonts w:ascii="Arial"/>
        </w:rPr>
        <w:t>UniKL</w:t>
      </w:r>
      <w:proofErr w:type="spellEnd"/>
      <w:r>
        <w:rPr>
          <w:rFonts w:ascii="Arial"/>
        </w:rPr>
        <w:t>, Kuala Lumpur, Malaysia</w:t>
      </w:r>
    </w:p>
    <w:p w14:paraId="67A8C155" w14:textId="77777777" w:rsidR="00AE3E37" w:rsidRDefault="00AE3E37">
      <w:pPr>
        <w:pStyle w:val="BodyText"/>
        <w:rPr>
          <w:rFonts w:ascii="Arial"/>
          <w:sz w:val="20"/>
        </w:rPr>
      </w:pPr>
    </w:p>
    <w:p w14:paraId="500DC8EC" w14:textId="77777777" w:rsidR="00AE3E37" w:rsidRDefault="00AE3E37">
      <w:pPr>
        <w:pStyle w:val="BodyText"/>
        <w:spacing w:before="3"/>
        <w:rPr>
          <w:rFonts w:ascii="Arial"/>
          <w:sz w:val="21"/>
        </w:rPr>
      </w:pPr>
    </w:p>
    <w:p w14:paraId="3BE1E6E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4648F66" w14:textId="295976AF" w:rsidR="00AE3E37" w:rsidRDefault="00A9710C">
      <w:pPr>
        <w:pStyle w:val="Heading3"/>
        <w:spacing w:before="147"/>
        <w:jc w:val="both"/>
      </w:pPr>
      <w:r>
        <w:rPr>
          <w:color w:val="BF5A14"/>
        </w:rPr>
        <w:t>Abstract</w:t>
      </w:r>
      <w:r w:rsidR="00404E5B">
        <w:rPr>
          <w:color w:val="BF5A14"/>
        </w:rPr>
        <w:t xml:space="preserve"> </w:t>
      </w:r>
    </w:p>
    <w:p w14:paraId="4EDE6A66" w14:textId="4DD8C7C3" w:rsidR="00C62594" w:rsidRPr="00C62594" w:rsidRDefault="00C62594" w:rsidP="00C62594">
      <w:pPr>
        <w:pStyle w:val="BodyText"/>
        <w:spacing w:before="90" w:line="280" w:lineRule="auto"/>
        <w:ind w:left="100"/>
        <w:jc w:val="both"/>
      </w:pPr>
      <w:r w:rsidRPr="00C62594">
        <w:t>The development and the performance of biosensors depend on a large degree on the materials employed for their construction. They also depend on the physicochemical characteristics of the materials employed for the construction of the transducer, the matrices used for the enzyme immobilization, the stabilizers and the mediators. It is well known that one of the limiting factors impeding the large-scale employment of biosensors, is the unacceptably low sensor-to-sensor reproducibility and bad signal stability.</w:t>
      </w:r>
      <w:r>
        <w:t xml:space="preserve"> </w:t>
      </w:r>
      <w:r w:rsidRPr="00C62594">
        <w:t>On the other hand, carbon nanotubes</w:t>
      </w:r>
      <w:r w:rsidR="008E4859">
        <w:t xml:space="preserve"> </w:t>
      </w:r>
      <w:r w:rsidRPr="00C62594">
        <w:t xml:space="preserve">(CNTs) are one of the novel materials with </w:t>
      </w:r>
      <w:proofErr w:type="spellStart"/>
      <w:r w:rsidRPr="00C62594">
        <w:t>nano</w:t>
      </w:r>
      <w:proofErr w:type="spellEnd"/>
      <w:r w:rsidRPr="00C62594">
        <w:t>-structure. They are promising as an immobilization substance because of their significant mechanical strength, high surface area, excellent electrical conductivity and good chemical stability.</w:t>
      </w:r>
      <w:r>
        <w:t xml:space="preserve"> </w:t>
      </w:r>
      <w:r w:rsidRPr="00C62594">
        <w:t xml:space="preserve">In this paper, an </w:t>
      </w:r>
      <w:proofErr w:type="spellStart"/>
      <w:r w:rsidRPr="00C62594">
        <w:t>amperometric</w:t>
      </w:r>
      <w:proofErr w:type="spellEnd"/>
      <w:r w:rsidRPr="00C62594">
        <w:t xml:space="preserve"> glucose biosensor is developed that is based on immobilization of glucose oxide</w:t>
      </w:r>
      <w:r>
        <w:t xml:space="preserve"> </w:t>
      </w:r>
      <w:r w:rsidRPr="00C62594">
        <w:t>(GOD) in a composite film of poly (o-aminophenol)</w:t>
      </w:r>
      <w:r>
        <w:t xml:space="preserve"> </w:t>
      </w:r>
      <w:r w:rsidRPr="00C62594">
        <w:t>(POAP) and Carbon nanotubes (CNT),</w:t>
      </w:r>
      <w:r>
        <w:t xml:space="preserve"> </w:t>
      </w:r>
      <w:r w:rsidRPr="00C62594">
        <w:t>which are electrochemically co-polymerized at gold (Au) electrode.</w:t>
      </w:r>
      <w:r>
        <w:t xml:space="preserve"> </w:t>
      </w:r>
      <w:r w:rsidRPr="00C62594">
        <w:t>Because of the high surface per volume ratio and excellent electrical conductivity of CNT, the biosensor based on an Au/POAP/CNT/GOD electrode has lower detection limit (0.01mM), larger maximum response current</w:t>
      </w:r>
      <w:r>
        <w:t xml:space="preserve"> </w:t>
      </w:r>
      <w:r w:rsidRPr="00C62594">
        <w:t xml:space="preserve">(0.24mAcm-2) and higher sensitivity (11.4mA M-1cm-2) than the values of the biosensor based on an Au/POAP/GOD electrode. </w:t>
      </w:r>
    </w:p>
    <w:p w14:paraId="3DC06B2C" w14:textId="67EF5556" w:rsidR="00C62594" w:rsidRDefault="00C62594" w:rsidP="00C62594">
      <w:pPr>
        <w:pStyle w:val="BodyText"/>
        <w:spacing w:before="90" w:line="280" w:lineRule="auto"/>
        <w:ind w:left="100"/>
        <w:jc w:val="both"/>
      </w:pPr>
      <w:r w:rsidRPr="00C62594">
        <w:t>Additionally, the sensor exhibits excellent performance, including relatively low detection limit, large current density, fast response time, high sensitivity and good stability.</w:t>
      </w:r>
    </w:p>
    <w:p w14:paraId="28252F9D" w14:textId="755D0F96" w:rsidR="00C62594" w:rsidRPr="00C62594" w:rsidRDefault="00C62594" w:rsidP="00C62594">
      <w:pPr>
        <w:pStyle w:val="BodyText"/>
        <w:spacing w:before="90" w:line="280" w:lineRule="auto"/>
        <w:ind w:left="100"/>
        <w:jc w:val="both"/>
      </w:pPr>
      <w:r w:rsidRPr="00C62594">
        <w:drawing>
          <wp:inline distT="0" distB="0" distL="0" distR="0" wp14:anchorId="09AE2BED" wp14:editId="0061BDE0">
            <wp:extent cx="1645920" cy="899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3337" cy="903212"/>
                    </a:xfrm>
                    <a:prstGeom prst="rect">
                      <a:avLst/>
                    </a:prstGeom>
                    <a:noFill/>
                    <a:ln>
                      <a:noFill/>
                    </a:ln>
                  </pic:spPr>
                </pic:pic>
              </a:graphicData>
            </a:graphic>
          </wp:inline>
        </w:drawing>
      </w:r>
      <w:r w:rsidRPr="00C62594">
        <w:drawing>
          <wp:inline distT="0" distB="0" distL="0" distR="0" wp14:anchorId="6B51F46A" wp14:editId="3BAF1735">
            <wp:extent cx="1600200" cy="8534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8131" cy="857670"/>
                    </a:xfrm>
                    <a:prstGeom prst="rect">
                      <a:avLst/>
                    </a:prstGeom>
                    <a:noFill/>
                    <a:ln>
                      <a:noFill/>
                    </a:ln>
                  </pic:spPr>
                </pic:pic>
              </a:graphicData>
            </a:graphic>
          </wp:inline>
        </w:drawing>
      </w:r>
    </w:p>
    <w:p w14:paraId="35A06809" w14:textId="77777777" w:rsidR="00C62594" w:rsidRPr="00C62594" w:rsidRDefault="00C62594" w:rsidP="00C62594">
      <w:pPr>
        <w:pStyle w:val="BodyText"/>
        <w:spacing w:before="90" w:line="280" w:lineRule="auto"/>
        <w:ind w:left="100"/>
        <w:jc w:val="both"/>
      </w:pPr>
      <w:r w:rsidRPr="00C62594">
        <w:t>A.SEM image of CNT                     B. POAP/CNT modified electrode</w:t>
      </w:r>
    </w:p>
    <w:p w14:paraId="65C3FE7A" w14:textId="6661880C" w:rsidR="00C62594" w:rsidRPr="00C62594" w:rsidRDefault="00916B96" w:rsidP="00C62594">
      <w:pPr>
        <w:pStyle w:val="BodyText"/>
        <w:spacing w:before="90" w:line="280" w:lineRule="auto"/>
        <w:ind w:left="100"/>
        <w:jc w:val="both"/>
      </w:pPr>
      <w:r w:rsidRPr="00C62594">
        <w:t>Figure 1</w:t>
      </w:r>
      <w:r>
        <w:t>:</w:t>
      </w:r>
      <w:r w:rsidRPr="00C62594">
        <w:t xml:space="preserve"> CNT synthesis by chemical vapor deposition method</w:t>
      </w:r>
      <w:r>
        <w:t xml:space="preserve"> </w:t>
      </w:r>
      <w:r w:rsidRPr="00C62594">
        <w:t>(CVD</w:t>
      </w:r>
      <w:r>
        <w:t>.</w:t>
      </w:r>
    </w:p>
    <w:p w14:paraId="2DB78C64" w14:textId="5480EB04" w:rsidR="005973B9" w:rsidRDefault="005973B9" w:rsidP="005973B9">
      <w:pPr>
        <w:spacing w:line="204" w:lineRule="exact"/>
        <w:rPr>
          <w:rFonts w:ascii="Arial"/>
          <w:b/>
          <w:sz w:val="20"/>
        </w:rPr>
      </w:pPr>
      <w:r>
        <w:rPr>
          <w:rFonts w:ascii="Arial"/>
          <w:b/>
          <w:color w:val="BF5A14"/>
          <w:sz w:val="20"/>
        </w:rPr>
        <w:br/>
        <w:t>Recent Publications</w:t>
      </w:r>
    </w:p>
    <w:p w14:paraId="5B6BA985" w14:textId="55067E60" w:rsidR="0034645F" w:rsidRPr="0034645F" w:rsidRDefault="0034645F" w:rsidP="0034645F">
      <w:pPr>
        <w:pStyle w:val="BodyText"/>
        <w:numPr>
          <w:ilvl w:val="0"/>
          <w:numId w:val="4"/>
        </w:numPr>
        <w:spacing w:before="85" w:line="216" w:lineRule="exact"/>
        <w:ind w:right="138"/>
        <w:jc w:val="both"/>
        <w:rPr>
          <w:rFonts w:ascii="Calibri" w:hAnsi="Calibri"/>
        </w:rPr>
      </w:pPr>
      <w:r w:rsidRPr="0034645F">
        <w:rPr>
          <w:rFonts w:ascii="Calibri" w:hAnsi="Calibri"/>
        </w:rPr>
        <w:t xml:space="preserve">Zhang, E., </w:t>
      </w:r>
      <w:proofErr w:type="spellStart"/>
      <w:r w:rsidRPr="0034645F">
        <w:rPr>
          <w:rFonts w:ascii="Calibri" w:hAnsi="Calibri"/>
        </w:rPr>
        <w:t>Xie</w:t>
      </w:r>
      <w:proofErr w:type="spellEnd"/>
      <w:r w:rsidRPr="0034645F">
        <w:rPr>
          <w:rFonts w:ascii="Calibri" w:hAnsi="Calibri"/>
        </w:rPr>
        <w:t xml:space="preserve">, Y., Ci, S., Jia, J., &amp; Wen, Z. (2016). Porous Co3O4 hollow </w:t>
      </w:r>
      <w:proofErr w:type="spellStart"/>
      <w:r w:rsidRPr="0034645F">
        <w:rPr>
          <w:rFonts w:ascii="Calibri" w:hAnsi="Calibri"/>
        </w:rPr>
        <w:t>nanododecahedra</w:t>
      </w:r>
      <w:proofErr w:type="spellEnd"/>
      <w:r w:rsidRPr="0034645F">
        <w:rPr>
          <w:rFonts w:ascii="Calibri" w:hAnsi="Calibri"/>
        </w:rPr>
        <w:t xml:space="preserve"> for nonenzymatic glucose biosensor and biofuel cell. Biosensors and Bioelectronics, 81, 46-53.</w:t>
      </w:r>
    </w:p>
    <w:p w14:paraId="172C8E2E" w14:textId="7126E874" w:rsidR="0034645F" w:rsidRPr="0034645F" w:rsidRDefault="0034645F" w:rsidP="0034645F">
      <w:pPr>
        <w:pStyle w:val="BodyText"/>
        <w:numPr>
          <w:ilvl w:val="0"/>
          <w:numId w:val="4"/>
        </w:numPr>
        <w:spacing w:before="85" w:line="216" w:lineRule="exact"/>
        <w:ind w:right="138"/>
        <w:jc w:val="both"/>
        <w:rPr>
          <w:rFonts w:ascii="Calibri" w:hAnsi="Calibri"/>
        </w:rPr>
      </w:pPr>
      <w:proofErr w:type="spellStart"/>
      <w:r w:rsidRPr="0034645F">
        <w:rPr>
          <w:rFonts w:ascii="Calibri" w:hAnsi="Calibri"/>
        </w:rPr>
        <w:t>Devasenathipathy</w:t>
      </w:r>
      <w:proofErr w:type="spellEnd"/>
      <w:r w:rsidRPr="0034645F">
        <w:rPr>
          <w:rFonts w:ascii="Calibri" w:hAnsi="Calibri"/>
        </w:rPr>
        <w:t>, R., Mani, V., Chen, S. M., Huang, S. T., Huang, T. T., Lin, C. M., ... &amp; Chen, B. J. (2015). Glucose biosensor based on glucose oxidase immobilized at gold nanoparticles decorated graphene-carbon nanotubes. Enzyme and microbial technology, 78, 40-45.</w:t>
      </w:r>
    </w:p>
    <w:p w14:paraId="35BA6060" w14:textId="37B1F394" w:rsidR="0034645F" w:rsidRPr="0034645F" w:rsidRDefault="0034645F" w:rsidP="0034645F">
      <w:pPr>
        <w:pStyle w:val="BodyText"/>
        <w:numPr>
          <w:ilvl w:val="0"/>
          <w:numId w:val="4"/>
        </w:numPr>
        <w:spacing w:before="85" w:line="216" w:lineRule="exact"/>
        <w:ind w:right="138"/>
        <w:jc w:val="both"/>
        <w:rPr>
          <w:rFonts w:ascii="Calibri" w:hAnsi="Calibri"/>
        </w:rPr>
      </w:pPr>
      <w:r w:rsidRPr="0034645F">
        <w:rPr>
          <w:rFonts w:ascii="Calibri" w:hAnsi="Calibri"/>
        </w:rPr>
        <w:t>Lai, J., Yi, Y., Zhu, P., Shen, J., Wu, K., Zhang, L., &amp; Liu, J. (2016). Polyaniline-based glucose biosensor: A review. Journal of Electroanalytical Chemistry, 782, 138-153.</w:t>
      </w:r>
    </w:p>
    <w:p w14:paraId="7F38F6DA" w14:textId="7CBE189B" w:rsidR="0034645F" w:rsidRPr="0034645F" w:rsidRDefault="0034645F" w:rsidP="0034645F">
      <w:pPr>
        <w:pStyle w:val="BodyText"/>
        <w:numPr>
          <w:ilvl w:val="0"/>
          <w:numId w:val="4"/>
        </w:numPr>
        <w:spacing w:before="85" w:line="216" w:lineRule="exact"/>
        <w:ind w:right="138"/>
        <w:jc w:val="both"/>
        <w:rPr>
          <w:rFonts w:ascii="Calibri" w:hAnsi="Calibri"/>
        </w:rPr>
      </w:pPr>
      <w:proofErr w:type="spellStart"/>
      <w:r w:rsidRPr="0034645F">
        <w:rPr>
          <w:rFonts w:ascii="Calibri" w:hAnsi="Calibri"/>
        </w:rPr>
        <w:t>Soni</w:t>
      </w:r>
      <w:proofErr w:type="spellEnd"/>
      <w:r w:rsidRPr="0034645F">
        <w:rPr>
          <w:rFonts w:ascii="Calibri" w:hAnsi="Calibri"/>
        </w:rPr>
        <w:t>, A., &amp; Jha, S. K. (2015). A paper strip based non-invasive glucose biosensor for salivary analysis. Biosensors and Bioelectronics, 67, 763-768.</w:t>
      </w:r>
    </w:p>
    <w:p w14:paraId="2FC0A277" w14:textId="0F541667" w:rsidR="0034645F" w:rsidRPr="0034645F" w:rsidRDefault="0034645F" w:rsidP="0034645F">
      <w:pPr>
        <w:pStyle w:val="BodyText"/>
        <w:numPr>
          <w:ilvl w:val="0"/>
          <w:numId w:val="4"/>
        </w:numPr>
        <w:spacing w:before="85" w:line="216" w:lineRule="exact"/>
        <w:ind w:right="138"/>
        <w:jc w:val="both"/>
        <w:rPr>
          <w:rFonts w:ascii="Calibri" w:hAnsi="Calibri"/>
        </w:rPr>
      </w:pPr>
      <w:r w:rsidRPr="0034645F">
        <w:rPr>
          <w:rFonts w:ascii="Calibri" w:hAnsi="Calibri"/>
        </w:rPr>
        <w:t xml:space="preserve">Jiang, B., Zhou, K., Wang, C., Sun, Q., Yin, G., Tai, Z., ... &amp; Zhang, L. (2018). Label-free glucose biosensor based on enzymatic graphene oxide-functionalized tilted </w:t>
      </w:r>
      <w:proofErr w:type="spellStart"/>
      <w:r w:rsidRPr="0034645F">
        <w:rPr>
          <w:rFonts w:ascii="Calibri" w:hAnsi="Calibri"/>
        </w:rPr>
        <w:t>fiber</w:t>
      </w:r>
      <w:proofErr w:type="spellEnd"/>
      <w:r w:rsidRPr="0034645F">
        <w:rPr>
          <w:rFonts w:ascii="Calibri" w:hAnsi="Calibri"/>
        </w:rPr>
        <w:t xml:space="preserve"> grating. Sensors and Actuators B: Chemical, 254, 1033-1039.</w:t>
      </w:r>
    </w:p>
    <w:p w14:paraId="31D98EA1" w14:textId="6AA65CDB" w:rsidR="00AE3E37" w:rsidRPr="0034645F" w:rsidRDefault="0034645F" w:rsidP="0034645F">
      <w:pPr>
        <w:pStyle w:val="BodyText"/>
        <w:numPr>
          <w:ilvl w:val="0"/>
          <w:numId w:val="4"/>
        </w:numPr>
        <w:spacing w:before="85" w:line="216" w:lineRule="exact"/>
        <w:ind w:right="138"/>
        <w:jc w:val="both"/>
        <w:rPr>
          <w:rFonts w:ascii="Calibri" w:hAnsi="Calibri"/>
        </w:rPr>
        <w:sectPr w:rsidR="00AE3E37" w:rsidRPr="0034645F">
          <w:type w:val="continuous"/>
          <w:pgSz w:w="11910" w:h="16840"/>
          <w:pgMar w:top="1740" w:right="600" w:bottom="840" w:left="620" w:header="720" w:footer="720" w:gutter="0"/>
          <w:cols w:num="2" w:space="720" w:equalWidth="0">
            <w:col w:w="5214" w:space="138"/>
            <w:col w:w="5338"/>
          </w:cols>
        </w:sectPr>
      </w:pPr>
      <w:r w:rsidRPr="0034645F">
        <w:rPr>
          <w:rFonts w:ascii="Calibri" w:hAnsi="Calibri"/>
        </w:rPr>
        <w:t>Liu, A., Lang, Q., Liang, B., &amp; Shi, J. (2017). Sensitive detection of maltose and glucose based on dual enzyme-displayed bacteria electrochemical biosensor. Biosensors and Bioelectronics, 87, 25-30.</w:t>
      </w:r>
      <w:r w:rsidR="008756E6" w:rsidRPr="0034645F">
        <w:rPr>
          <w:rFonts w:ascii="Calibri" w:hAnsi="Calibri"/>
        </w:rPr>
        <w:t xml:space="preserve">  </w:t>
      </w:r>
    </w:p>
    <w:p w14:paraId="02418431" w14:textId="77777777" w:rsidR="00AE3E37" w:rsidRDefault="00AE3E37">
      <w:pPr>
        <w:pStyle w:val="BodyText"/>
        <w:rPr>
          <w:rFonts w:ascii="Calibri"/>
          <w:sz w:val="20"/>
        </w:rPr>
      </w:pPr>
    </w:p>
    <w:p w14:paraId="26790D2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C9F38AE" wp14:editId="534E10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5A5FD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CF9E08C" w14:textId="16F75034" w:rsidR="00AE3E37" w:rsidRDefault="008756E6" w:rsidP="00404E5B">
      <w:pPr>
        <w:spacing w:before="92"/>
        <w:ind w:right="4234"/>
        <w:rPr>
          <w:rFonts w:ascii="Arial"/>
        </w:rPr>
      </w:pPr>
      <w:r>
        <w:rPr>
          <w:noProof/>
        </w:rPr>
        <w:t xml:space="preserve">              </w:t>
      </w:r>
      <w:r w:rsidR="003968F8">
        <w:rPr>
          <w:noProof/>
          <w:lang w:val="en-GB"/>
        </w:rPr>
        <w:drawing>
          <wp:inline distT="0" distB="0" distL="0" distR="0" wp14:anchorId="6CB42894" wp14:editId="5B98FB8E">
            <wp:extent cx="861060" cy="937260"/>
            <wp:effectExtent l="0" t="0" r="0" b="0"/>
            <wp:docPr id="4" name="Picture 4" descr="DrSoheli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SoheliMI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1060" cy="93726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p>
    <w:p w14:paraId="2421E3DE" w14:textId="4EAED227" w:rsidR="00761940" w:rsidRDefault="00761940">
      <w:pPr>
        <w:spacing w:before="41" w:line="154" w:lineRule="exact"/>
        <w:ind w:left="213" w:right="231"/>
        <w:jc w:val="both"/>
        <w:rPr>
          <w:rFonts w:ascii="Arial"/>
          <w:sz w:val="14"/>
        </w:rPr>
      </w:pPr>
      <w:r w:rsidRPr="00761940">
        <w:rPr>
          <w:rFonts w:ascii="Arial"/>
          <w:sz w:val="14"/>
        </w:rPr>
        <w:t xml:space="preserve">Dr. Soheli Farhana has completed her PhD in engineering from International Islamic University Malaysia and postdoctoral fellowship from International Islamic University Malaysia, Malaysia. She was the visiting researcher at ONE Lab, MIT, MA, USA. She has published several articles in reputed journals and has been serving as an editorial board member of reputed journals. Dr. Farhana is also serving as the committee member in several conferences. She is the reviewer of IEEE Transaction on Power Electronics and some relevant journals in Springer publication. Currently, Dr. Farhana is working as a visiting research professor at MIIT, </w:t>
      </w:r>
      <w:proofErr w:type="spellStart"/>
      <w:r w:rsidRPr="00761940">
        <w:rPr>
          <w:rFonts w:ascii="Arial"/>
          <w:sz w:val="14"/>
        </w:rPr>
        <w:t>UniKL</w:t>
      </w:r>
      <w:proofErr w:type="spellEnd"/>
      <w:r w:rsidRPr="00761940">
        <w:rPr>
          <w:rFonts w:ascii="Arial"/>
          <w:sz w:val="14"/>
        </w:rPr>
        <w:t>, Kuala Lumpur, Malaysia.</w:t>
      </w:r>
    </w:p>
    <w:p w14:paraId="3F171DCC" w14:textId="201F997A" w:rsidR="00AE3E37" w:rsidRDefault="00A9710C">
      <w:pPr>
        <w:spacing w:before="62"/>
        <w:ind w:left="4217" w:right="4235"/>
        <w:jc w:val="center"/>
        <w:rPr>
          <w:rFonts w:ascii="Arial"/>
          <w:sz w:val="14"/>
        </w:rPr>
      </w:pPr>
      <w:r>
        <w:rPr>
          <w:rFonts w:ascii="Arial"/>
          <w:sz w:val="14"/>
        </w:rPr>
        <w:t xml:space="preserve">Email: </w:t>
      </w:r>
      <w:hyperlink r:id="rId12" w:history="1">
        <w:r w:rsidR="00761940" w:rsidRPr="006C2E9D">
          <w:rPr>
            <w:rStyle w:val="Hyperlink"/>
            <w:rFonts w:ascii="Arial"/>
            <w:sz w:val="14"/>
          </w:rPr>
          <w:t>farhanas@unikl.edu.my</w:t>
        </w:r>
      </w:hyperlink>
    </w:p>
    <w:p w14:paraId="74DEE85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E300015" wp14:editId="027FF7A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C4C6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684F5AE" w14:textId="77777777" w:rsidR="00AE3E37" w:rsidRDefault="00AE3E37">
      <w:pPr>
        <w:pStyle w:val="BodyText"/>
        <w:rPr>
          <w:rFonts w:ascii="Arial"/>
          <w:sz w:val="20"/>
        </w:rPr>
      </w:pPr>
    </w:p>
    <w:p w14:paraId="55D1C92F" w14:textId="77777777" w:rsidR="00AE3E37" w:rsidRDefault="00AE3E37">
      <w:pPr>
        <w:pStyle w:val="BodyText"/>
        <w:rPr>
          <w:rFonts w:ascii="Arial"/>
          <w:sz w:val="20"/>
        </w:rPr>
      </w:pPr>
    </w:p>
    <w:p w14:paraId="6C1FFA05" w14:textId="77777777" w:rsidR="00AE3E37" w:rsidRDefault="00AE3E37">
      <w:pPr>
        <w:pStyle w:val="BodyText"/>
        <w:spacing w:before="7"/>
        <w:rPr>
          <w:rFonts w:ascii="Arial"/>
          <w:sz w:val="29"/>
        </w:rPr>
      </w:pPr>
    </w:p>
    <w:p w14:paraId="21C78BE0" w14:textId="77777777" w:rsidR="00AE3E37" w:rsidRPr="00B21A57" w:rsidRDefault="00A9710C">
      <w:pPr>
        <w:spacing w:before="39"/>
        <w:ind w:left="100"/>
        <w:rPr>
          <w:rFonts w:ascii="Minion Pro"/>
          <w:b/>
          <w:sz w:val="20"/>
        </w:rPr>
      </w:pPr>
      <w:r w:rsidRPr="00B21A57">
        <w:rPr>
          <w:rFonts w:ascii="Minion Pro"/>
          <w:b/>
          <w:sz w:val="20"/>
        </w:rPr>
        <w:t>Notes/Comments:</w:t>
      </w:r>
    </w:p>
    <w:p w14:paraId="7F4DE62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A83D8A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5EADE2" w14:textId="77777777" w:rsidR="001A0C8F" w:rsidRDefault="001A0C8F">
      <w:r>
        <w:separator/>
      </w:r>
    </w:p>
  </w:endnote>
  <w:endnote w:type="continuationSeparator" w:id="0">
    <w:p w14:paraId="00651F19" w14:textId="77777777" w:rsidR="001A0C8F" w:rsidRDefault="001A0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4A0C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48C862C" wp14:editId="3E03FBD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ABE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5B86D9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8C862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08ABE6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5B86D9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9E1F167" wp14:editId="2BF6C50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E01E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E1C6EA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1F16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57E01E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E1C6EA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4F15165" wp14:editId="28CC5D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56E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2173E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1516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5756E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2173E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B5A8E" w14:textId="77777777" w:rsidR="001A0C8F" w:rsidRDefault="001A0C8F">
      <w:r>
        <w:separator/>
      </w:r>
    </w:p>
  </w:footnote>
  <w:footnote w:type="continuationSeparator" w:id="0">
    <w:p w14:paraId="1995A5FF" w14:textId="77777777" w:rsidR="001A0C8F" w:rsidRDefault="001A0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E7A9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31ED8E1" wp14:editId="5172D9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8EC41" w14:textId="57AF38DD" w:rsidR="00AE3E37" w:rsidRPr="00F45017" w:rsidRDefault="00AE3E37">
                          <w:pPr>
                            <w:spacing w:before="2" w:line="249" w:lineRule="auto"/>
                            <w:ind w:left="156" w:right="18" w:hanging="137"/>
                            <w:rPr>
                              <w:rFonts w:ascii="Arial"/>
                              <w:color w:val="FF0000"/>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1ED8E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338EC41" w14:textId="57AF38DD" w:rsidR="00AE3E37" w:rsidRPr="00F45017" w:rsidRDefault="00AE3E37">
                    <w:pPr>
                      <w:spacing w:before="2" w:line="249" w:lineRule="auto"/>
                      <w:ind w:left="156" w:right="18" w:hanging="137"/>
                      <w:rPr>
                        <w:rFonts w:ascii="Arial"/>
                        <w:color w:val="FF0000"/>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E1C4DD1" wp14:editId="5EE2240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4ABA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8A8F12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C4DD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D34ABA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8A8F12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52A10A8"/>
    <w:multiLevelType w:val="hybridMultilevel"/>
    <w:tmpl w:val="C1E2B134"/>
    <w:lvl w:ilvl="0" w:tplc="CAD28EDA">
      <w:start w:val="1"/>
      <w:numFmt w:val="decimal"/>
      <w:lvlText w:val="%1."/>
      <w:lvlJc w:val="left"/>
      <w:pPr>
        <w:ind w:left="459" w:hanging="360"/>
      </w:pPr>
      <w:rPr>
        <w:rFonts w:hint="default"/>
      </w:rPr>
    </w:lvl>
    <w:lvl w:ilvl="1" w:tplc="44090019" w:tentative="1">
      <w:start w:val="1"/>
      <w:numFmt w:val="lowerLetter"/>
      <w:lvlText w:val="%2."/>
      <w:lvlJc w:val="left"/>
      <w:pPr>
        <w:ind w:left="1179" w:hanging="360"/>
      </w:pPr>
    </w:lvl>
    <w:lvl w:ilvl="2" w:tplc="4409001B" w:tentative="1">
      <w:start w:val="1"/>
      <w:numFmt w:val="lowerRoman"/>
      <w:lvlText w:val="%3."/>
      <w:lvlJc w:val="right"/>
      <w:pPr>
        <w:ind w:left="1899" w:hanging="180"/>
      </w:pPr>
    </w:lvl>
    <w:lvl w:ilvl="3" w:tplc="4409000F" w:tentative="1">
      <w:start w:val="1"/>
      <w:numFmt w:val="decimal"/>
      <w:lvlText w:val="%4."/>
      <w:lvlJc w:val="left"/>
      <w:pPr>
        <w:ind w:left="2619" w:hanging="360"/>
      </w:pPr>
    </w:lvl>
    <w:lvl w:ilvl="4" w:tplc="44090019" w:tentative="1">
      <w:start w:val="1"/>
      <w:numFmt w:val="lowerLetter"/>
      <w:lvlText w:val="%5."/>
      <w:lvlJc w:val="left"/>
      <w:pPr>
        <w:ind w:left="3339" w:hanging="360"/>
      </w:pPr>
    </w:lvl>
    <w:lvl w:ilvl="5" w:tplc="4409001B" w:tentative="1">
      <w:start w:val="1"/>
      <w:numFmt w:val="lowerRoman"/>
      <w:lvlText w:val="%6."/>
      <w:lvlJc w:val="right"/>
      <w:pPr>
        <w:ind w:left="4059" w:hanging="180"/>
      </w:pPr>
    </w:lvl>
    <w:lvl w:ilvl="6" w:tplc="4409000F" w:tentative="1">
      <w:start w:val="1"/>
      <w:numFmt w:val="decimal"/>
      <w:lvlText w:val="%7."/>
      <w:lvlJc w:val="left"/>
      <w:pPr>
        <w:ind w:left="4779" w:hanging="360"/>
      </w:pPr>
    </w:lvl>
    <w:lvl w:ilvl="7" w:tplc="44090019" w:tentative="1">
      <w:start w:val="1"/>
      <w:numFmt w:val="lowerLetter"/>
      <w:lvlText w:val="%8."/>
      <w:lvlJc w:val="left"/>
      <w:pPr>
        <w:ind w:left="5499" w:hanging="360"/>
      </w:pPr>
    </w:lvl>
    <w:lvl w:ilvl="8" w:tplc="4409001B" w:tentative="1">
      <w:start w:val="1"/>
      <w:numFmt w:val="lowerRoman"/>
      <w:lvlText w:val="%9."/>
      <w:lvlJc w:val="right"/>
      <w:pPr>
        <w:ind w:left="6219"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A0C8F"/>
    <w:rsid w:val="001B35EB"/>
    <w:rsid w:val="002455EC"/>
    <w:rsid w:val="00292ED9"/>
    <w:rsid w:val="0034645F"/>
    <w:rsid w:val="003968F8"/>
    <w:rsid w:val="00404E5B"/>
    <w:rsid w:val="00414F7B"/>
    <w:rsid w:val="004355DC"/>
    <w:rsid w:val="004749B4"/>
    <w:rsid w:val="00494130"/>
    <w:rsid w:val="004F3523"/>
    <w:rsid w:val="005973B9"/>
    <w:rsid w:val="005B3A56"/>
    <w:rsid w:val="006060CE"/>
    <w:rsid w:val="0063497F"/>
    <w:rsid w:val="00761940"/>
    <w:rsid w:val="00792C69"/>
    <w:rsid w:val="00873DF0"/>
    <w:rsid w:val="008756E6"/>
    <w:rsid w:val="008A08B6"/>
    <w:rsid w:val="008E4859"/>
    <w:rsid w:val="00916B96"/>
    <w:rsid w:val="009B2D44"/>
    <w:rsid w:val="00A07E82"/>
    <w:rsid w:val="00A9710C"/>
    <w:rsid w:val="00AE3E37"/>
    <w:rsid w:val="00B21A57"/>
    <w:rsid w:val="00C33602"/>
    <w:rsid w:val="00C62594"/>
    <w:rsid w:val="00CD6F55"/>
    <w:rsid w:val="00DE3104"/>
    <w:rsid w:val="00E26B10"/>
    <w:rsid w:val="00E92CFF"/>
    <w:rsid w:val="00F043DD"/>
    <w:rsid w:val="00F4501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A5EF74"/>
  <w15:docId w15:val="{B46BE722-C7F8-4B9A-96FD-E873EE08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61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8126604">
      <w:bodyDiv w:val="1"/>
      <w:marLeft w:val="0"/>
      <w:marRight w:val="0"/>
      <w:marTop w:val="0"/>
      <w:marBottom w:val="0"/>
      <w:divBdr>
        <w:top w:val="none" w:sz="0" w:space="0" w:color="auto"/>
        <w:left w:val="none" w:sz="0" w:space="0" w:color="auto"/>
        <w:bottom w:val="none" w:sz="0" w:space="0" w:color="auto"/>
        <w:right w:val="none" w:sz="0" w:space="0" w:color="auto"/>
      </w:divBdr>
      <w:divsChild>
        <w:div w:id="2083336293">
          <w:marLeft w:val="0"/>
          <w:marRight w:val="0"/>
          <w:marTop w:val="0"/>
          <w:marBottom w:val="0"/>
          <w:divBdr>
            <w:top w:val="none" w:sz="0" w:space="0" w:color="auto"/>
            <w:left w:val="none" w:sz="0" w:space="0" w:color="auto"/>
            <w:bottom w:val="none" w:sz="0" w:space="0" w:color="auto"/>
            <w:right w:val="none" w:sz="0" w:space="0" w:color="auto"/>
          </w:divBdr>
        </w:div>
      </w:divsChild>
    </w:div>
    <w:div w:id="798374599">
      <w:bodyDiv w:val="1"/>
      <w:marLeft w:val="0"/>
      <w:marRight w:val="0"/>
      <w:marTop w:val="0"/>
      <w:marBottom w:val="0"/>
      <w:divBdr>
        <w:top w:val="none" w:sz="0" w:space="0" w:color="auto"/>
        <w:left w:val="none" w:sz="0" w:space="0" w:color="auto"/>
        <w:bottom w:val="none" w:sz="0" w:space="0" w:color="auto"/>
        <w:right w:val="none" w:sz="0" w:space="0" w:color="auto"/>
      </w:divBdr>
      <w:divsChild>
        <w:div w:id="501241930">
          <w:marLeft w:val="0"/>
          <w:marRight w:val="0"/>
          <w:marTop w:val="0"/>
          <w:marBottom w:val="0"/>
          <w:divBdr>
            <w:top w:val="none" w:sz="0" w:space="0" w:color="auto"/>
            <w:left w:val="none" w:sz="0" w:space="0" w:color="auto"/>
            <w:bottom w:val="none" w:sz="0" w:space="0" w:color="auto"/>
            <w:right w:val="none" w:sz="0" w:space="0" w:color="auto"/>
          </w:divBdr>
        </w:div>
      </w:divsChild>
    </w:div>
    <w:div w:id="1251544343">
      <w:bodyDiv w:val="1"/>
      <w:marLeft w:val="0"/>
      <w:marRight w:val="0"/>
      <w:marTop w:val="0"/>
      <w:marBottom w:val="0"/>
      <w:divBdr>
        <w:top w:val="none" w:sz="0" w:space="0" w:color="auto"/>
        <w:left w:val="none" w:sz="0" w:space="0" w:color="auto"/>
        <w:bottom w:val="none" w:sz="0" w:space="0" w:color="auto"/>
        <w:right w:val="none" w:sz="0" w:space="0" w:color="auto"/>
      </w:divBdr>
      <w:divsChild>
        <w:div w:id="2143306348">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3238996">
      <w:bodyDiv w:val="1"/>
      <w:marLeft w:val="0"/>
      <w:marRight w:val="0"/>
      <w:marTop w:val="0"/>
      <w:marBottom w:val="0"/>
      <w:divBdr>
        <w:top w:val="none" w:sz="0" w:space="0" w:color="auto"/>
        <w:left w:val="none" w:sz="0" w:space="0" w:color="auto"/>
        <w:bottom w:val="none" w:sz="0" w:space="0" w:color="auto"/>
        <w:right w:val="none" w:sz="0" w:space="0" w:color="auto"/>
      </w:divBdr>
      <w:divsChild>
        <w:div w:id="682434578">
          <w:marLeft w:val="0"/>
          <w:marRight w:val="0"/>
          <w:marTop w:val="0"/>
          <w:marBottom w:val="0"/>
          <w:divBdr>
            <w:top w:val="none" w:sz="0" w:space="0" w:color="auto"/>
            <w:left w:val="none" w:sz="0" w:space="0" w:color="auto"/>
            <w:bottom w:val="none" w:sz="0" w:space="0" w:color="auto"/>
            <w:right w:val="none" w:sz="0" w:space="0" w:color="auto"/>
          </w:divBdr>
        </w:div>
      </w:divsChild>
    </w:div>
    <w:div w:id="1994261884">
      <w:bodyDiv w:val="1"/>
      <w:marLeft w:val="0"/>
      <w:marRight w:val="0"/>
      <w:marTop w:val="0"/>
      <w:marBottom w:val="0"/>
      <w:divBdr>
        <w:top w:val="none" w:sz="0" w:space="0" w:color="auto"/>
        <w:left w:val="none" w:sz="0" w:space="0" w:color="auto"/>
        <w:bottom w:val="none" w:sz="0" w:space="0" w:color="auto"/>
        <w:right w:val="none" w:sz="0" w:space="0" w:color="auto"/>
      </w:divBdr>
      <w:divsChild>
        <w:div w:id="873229863">
          <w:marLeft w:val="0"/>
          <w:marRight w:val="0"/>
          <w:marTop w:val="0"/>
          <w:marBottom w:val="0"/>
          <w:divBdr>
            <w:top w:val="none" w:sz="0" w:space="0" w:color="auto"/>
            <w:left w:val="none" w:sz="0" w:space="0" w:color="auto"/>
            <w:bottom w:val="none" w:sz="0" w:space="0" w:color="auto"/>
            <w:right w:val="none" w:sz="0" w:space="0" w:color="auto"/>
          </w:divBdr>
        </w:div>
      </w:divsChild>
    </w:div>
    <w:div w:id="2095197458">
      <w:bodyDiv w:val="1"/>
      <w:marLeft w:val="0"/>
      <w:marRight w:val="0"/>
      <w:marTop w:val="0"/>
      <w:marBottom w:val="0"/>
      <w:divBdr>
        <w:top w:val="none" w:sz="0" w:space="0" w:color="auto"/>
        <w:left w:val="none" w:sz="0" w:space="0" w:color="auto"/>
        <w:bottom w:val="none" w:sz="0" w:space="0" w:color="auto"/>
        <w:right w:val="none" w:sz="0" w:space="0" w:color="auto"/>
      </w:divBdr>
      <w:divsChild>
        <w:div w:id="170886948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farhanas@unikl.edu.m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Masum Billah</cp:lastModifiedBy>
  <cp:revision>12</cp:revision>
  <dcterms:created xsi:type="dcterms:W3CDTF">2016-12-06T11:19:00Z</dcterms:created>
  <dcterms:modified xsi:type="dcterms:W3CDTF">2019-06-08T04:59:00Z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