
<file path=[Content_Types].xml><?xml version="1.0" encoding="utf-8"?>
<Types xmlns="http://schemas.openxmlformats.org/package/2006/content-types">
  <Default Extension="png" ContentType="image/png"/>
  <Override PartName="/word/theme/themeOverride1.xml" ContentType="application/vnd.openxmlformats-officedocument.themeOverride+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23E" w:rsidRPr="00D6662F" w:rsidRDefault="00D6662F" w:rsidP="00A061F8">
      <w:pPr>
        <w:pStyle w:val="Heading2"/>
        <w:spacing w:before="0" w:beforeAutospacing="0" w:after="0" w:afterAutospacing="0" w:line="360" w:lineRule="auto"/>
        <w:jc w:val="center"/>
        <w:rPr>
          <w:b w:val="0"/>
          <w:bCs w:val="0"/>
          <w:sz w:val="24"/>
          <w:szCs w:val="24"/>
        </w:rPr>
      </w:pPr>
      <w:r w:rsidRPr="00D6662F">
        <w:rPr>
          <w:sz w:val="24"/>
          <w:szCs w:val="24"/>
        </w:rPr>
        <w:t>The Role of Solar activities</w:t>
      </w:r>
      <w:r w:rsidR="0085623E" w:rsidRPr="00D6662F">
        <w:rPr>
          <w:sz w:val="24"/>
          <w:szCs w:val="24"/>
        </w:rPr>
        <w:t xml:space="preserve"> on the Earth’s atmosphere and </w:t>
      </w:r>
      <w:r w:rsidR="00CF37EA" w:rsidRPr="00D6662F">
        <w:rPr>
          <w:sz w:val="24"/>
          <w:szCs w:val="24"/>
        </w:rPr>
        <w:t xml:space="preserve">Global </w:t>
      </w:r>
      <w:r w:rsidR="0085623E" w:rsidRPr="00D6662F">
        <w:rPr>
          <w:sz w:val="24"/>
          <w:szCs w:val="24"/>
        </w:rPr>
        <w:t>Climate</w:t>
      </w:r>
      <w:r w:rsidR="00CF37EA" w:rsidRPr="00D6662F">
        <w:rPr>
          <w:sz w:val="24"/>
          <w:szCs w:val="24"/>
        </w:rPr>
        <w:t xml:space="preserve"> Change</w:t>
      </w:r>
    </w:p>
    <w:p w:rsidR="0085623E" w:rsidRPr="00CF37EA" w:rsidRDefault="0085623E" w:rsidP="00A061F8">
      <w:pPr>
        <w:jc w:val="center"/>
        <w:rPr>
          <w:b/>
          <w:bCs/>
          <w:sz w:val="22"/>
          <w:szCs w:val="22"/>
        </w:rPr>
      </w:pPr>
      <w:r w:rsidRPr="00CF37EA">
        <w:rPr>
          <w:b/>
          <w:bCs/>
          <w:sz w:val="22"/>
          <w:szCs w:val="22"/>
        </w:rPr>
        <w:t>R. K. Mishra</w:t>
      </w:r>
      <w:r w:rsidRPr="00CF37EA">
        <w:rPr>
          <w:b/>
          <w:bCs/>
          <w:sz w:val="22"/>
          <w:szCs w:val="22"/>
          <w:vertAlign w:val="superscript"/>
        </w:rPr>
        <w:t>1</w:t>
      </w:r>
      <w:r w:rsidRPr="00CF37EA">
        <w:rPr>
          <w:b/>
          <w:bCs/>
          <w:sz w:val="22"/>
          <w:szCs w:val="22"/>
        </w:rPr>
        <w:t xml:space="preserve"> and S.C.Dubey</w:t>
      </w:r>
      <w:r w:rsidRPr="00CF37EA">
        <w:rPr>
          <w:b/>
          <w:bCs/>
          <w:sz w:val="22"/>
          <w:szCs w:val="22"/>
          <w:vertAlign w:val="superscript"/>
        </w:rPr>
        <w:t>2</w:t>
      </w:r>
    </w:p>
    <w:p w:rsidR="0085623E" w:rsidRPr="00A061F8" w:rsidRDefault="0085623E" w:rsidP="00A061F8">
      <w:pPr>
        <w:ind w:left="180"/>
        <w:jc w:val="center"/>
        <w:rPr>
          <w:i/>
          <w:iCs/>
          <w:sz w:val="20"/>
          <w:szCs w:val="20"/>
        </w:rPr>
      </w:pPr>
      <w:r w:rsidRPr="00A061F8">
        <w:rPr>
          <w:b/>
          <w:i/>
          <w:iCs/>
          <w:sz w:val="20"/>
          <w:szCs w:val="20"/>
          <w:vertAlign w:val="superscript"/>
        </w:rPr>
        <w:t>1</w:t>
      </w:r>
      <w:r w:rsidR="00CF37EA" w:rsidRPr="00A061F8">
        <w:rPr>
          <w:i/>
          <w:iCs/>
          <w:sz w:val="20"/>
          <w:szCs w:val="20"/>
        </w:rPr>
        <w:t xml:space="preserve">Department of Physics, A.P.S. University, </w:t>
      </w:r>
      <w:r w:rsidRPr="00A061F8">
        <w:rPr>
          <w:i/>
          <w:iCs/>
          <w:sz w:val="20"/>
          <w:szCs w:val="20"/>
        </w:rPr>
        <w:t>Rewa(M.P.)</w:t>
      </w:r>
      <w:r w:rsidR="00CF37EA" w:rsidRPr="00A061F8">
        <w:rPr>
          <w:i/>
          <w:iCs/>
          <w:sz w:val="20"/>
          <w:szCs w:val="20"/>
        </w:rPr>
        <w:t xml:space="preserve"> Pin-486003, India.</w:t>
      </w:r>
    </w:p>
    <w:p w:rsidR="0085623E" w:rsidRPr="00A061F8" w:rsidRDefault="0085623E" w:rsidP="00A061F8">
      <w:pPr>
        <w:jc w:val="center"/>
        <w:rPr>
          <w:sz w:val="20"/>
          <w:szCs w:val="20"/>
        </w:rPr>
      </w:pPr>
      <w:r w:rsidRPr="00A061F8">
        <w:rPr>
          <w:sz w:val="20"/>
          <w:szCs w:val="20"/>
        </w:rPr>
        <w:t>E-mail ~ rakesh_response@rediffmail.com</w:t>
      </w:r>
    </w:p>
    <w:p w:rsidR="0085623E" w:rsidRPr="00A061F8" w:rsidRDefault="0085623E" w:rsidP="00A061F8">
      <w:pPr>
        <w:ind w:left="180"/>
        <w:jc w:val="center"/>
        <w:rPr>
          <w:i/>
          <w:iCs/>
          <w:sz w:val="20"/>
          <w:szCs w:val="20"/>
        </w:rPr>
      </w:pPr>
      <w:r w:rsidRPr="00A061F8">
        <w:rPr>
          <w:b/>
          <w:i/>
          <w:iCs/>
          <w:sz w:val="20"/>
          <w:szCs w:val="20"/>
          <w:vertAlign w:val="superscript"/>
        </w:rPr>
        <w:t>2</w:t>
      </w:r>
      <w:r w:rsidRPr="00A061F8">
        <w:rPr>
          <w:i/>
          <w:iCs/>
          <w:sz w:val="20"/>
          <w:szCs w:val="20"/>
        </w:rPr>
        <w:t>Department of Physics, S.G.S. Govt. P.G. College, Sidhi (M.P.) Pin-486661, India.</w:t>
      </w:r>
    </w:p>
    <w:p w:rsidR="0085623E" w:rsidRPr="00A061F8" w:rsidRDefault="0085623E" w:rsidP="00A061F8">
      <w:pPr>
        <w:jc w:val="center"/>
        <w:rPr>
          <w:sz w:val="20"/>
          <w:szCs w:val="20"/>
        </w:rPr>
      </w:pPr>
      <w:r w:rsidRPr="00A061F8">
        <w:rPr>
          <w:sz w:val="20"/>
          <w:szCs w:val="20"/>
        </w:rPr>
        <w:t>E-mail ~ subhas1236@rediffmail.com</w:t>
      </w:r>
    </w:p>
    <w:p w:rsidR="0085623E" w:rsidRPr="00A061F8" w:rsidRDefault="0085623E" w:rsidP="00A061F8">
      <w:pPr>
        <w:pStyle w:val="Heading3"/>
        <w:spacing w:before="120" w:after="120"/>
        <w:ind w:left="187"/>
        <w:jc w:val="center"/>
        <w:rPr>
          <w:rFonts w:ascii="Times New Roman" w:hAnsi="Times New Roman" w:cs="Times New Roman"/>
          <w:sz w:val="22"/>
          <w:szCs w:val="22"/>
        </w:rPr>
      </w:pPr>
      <w:r w:rsidRPr="00A061F8">
        <w:rPr>
          <w:rFonts w:ascii="Times New Roman" w:hAnsi="Times New Roman" w:cs="Times New Roman"/>
          <w:sz w:val="22"/>
          <w:szCs w:val="22"/>
        </w:rPr>
        <w:t>Abstract</w:t>
      </w:r>
    </w:p>
    <w:p w:rsidR="0085623E" w:rsidRPr="00A061F8" w:rsidRDefault="0085623E" w:rsidP="00537AF1">
      <w:pPr>
        <w:jc w:val="both"/>
        <w:rPr>
          <w:sz w:val="22"/>
          <w:szCs w:val="22"/>
        </w:rPr>
      </w:pPr>
      <w:r w:rsidRPr="00A061F8">
        <w:rPr>
          <w:sz w:val="22"/>
          <w:szCs w:val="22"/>
        </w:rPr>
        <w:t xml:space="preserve">The </w:t>
      </w:r>
      <w:r w:rsidR="00D6662F" w:rsidRPr="00A061F8">
        <w:rPr>
          <w:sz w:val="22"/>
          <w:szCs w:val="22"/>
        </w:rPr>
        <w:t>role of Sun in recent global warming and projections for its future influence in the context of man-made climate change has</w:t>
      </w:r>
      <w:r w:rsidR="00CF37EA" w:rsidRPr="00A061F8">
        <w:rPr>
          <w:sz w:val="22"/>
          <w:szCs w:val="22"/>
        </w:rPr>
        <w:t xml:space="preserve"> been </w:t>
      </w:r>
      <w:r w:rsidR="00D6662F" w:rsidRPr="00A061F8">
        <w:rPr>
          <w:sz w:val="22"/>
          <w:szCs w:val="22"/>
        </w:rPr>
        <w:t>analyzed</w:t>
      </w:r>
      <w:r w:rsidRPr="00A061F8">
        <w:rPr>
          <w:sz w:val="22"/>
          <w:szCs w:val="22"/>
        </w:rPr>
        <w:t xml:space="preserve">. Energy </w:t>
      </w:r>
      <w:r w:rsidR="00D6662F" w:rsidRPr="00A061F8">
        <w:rPr>
          <w:sz w:val="22"/>
          <w:szCs w:val="22"/>
        </w:rPr>
        <w:t xml:space="preserve">receiving </w:t>
      </w:r>
      <w:r w:rsidRPr="00A061F8">
        <w:rPr>
          <w:sz w:val="22"/>
          <w:szCs w:val="22"/>
        </w:rPr>
        <w:t>from Sun</w:t>
      </w:r>
      <w:r w:rsidR="00D6662F" w:rsidRPr="00A061F8">
        <w:rPr>
          <w:sz w:val="22"/>
          <w:szCs w:val="22"/>
        </w:rPr>
        <w:t>,</w:t>
      </w:r>
      <w:r w:rsidRPr="00A061F8">
        <w:rPr>
          <w:sz w:val="22"/>
          <w:szCs w:val="22"/>
        </w:rPr>
        <w:t xml:space="preserve"> in the form of electromagnetic radiation</w:t>
      </w:r>
      <w:r w:rsidR="00D6662F" w:rsidRPr="00A061F8">
        <w:rPr>
          <w:sz w:val="22"/>
          <w:szCs w:val="22"/>
        </w:rPr>
        <w:t xml:space="preserve"> is</w:t>
      </w:r>
      <w:r w:rsidRPr="00A061F8">
        <w:rPr>
          <w:sz w:val="22"/>
          <w:szCs w:val="22"/>
        </w:rPr>
        <w:t xml:space="preserve"> the fun</w:t>
      </w:r>
      <w:r w:rsidR="00CF37EA" w:rsidRPr="00A061F8">
        <w:rPr>
          <w:sz w:val="22"/>
          <w:szCs w:val="22"/>
        </w:rPr>
        <w:t>damental driver of the Earth’s c</w:t>
      </w:r>
      <w:r w:rsidR="00D6662F" w:rsidRPr="00A061F8">
        <w:rPr>
          <w:sz w:val="22"/>
          <w:szCs w:val="22"/>
        </w:rPr>
        <w:t>limate system. The total s</w:t>
      </w:r>
      <w:r w:rsidRPr="00A061F8">
        <w:rPr>
          <w:sz w:val="22"/>
          <w:szCs w:val="22"/>
        </w:rPr>
        <w:t xml:space="preserve">olar </w:t>
      </w:r>
      <w:r w:rsidR="00D6662F" w:rsidRPr="00A061F8">
        <w:rPr>
          <w:sz w:val="22"/>
          <w:szCs w:val="22"/>
        </w:rPr>
        <w:t>e</w:t>
      </w:r>
      <w:r w:rsidRPr="00A061F8">
        <w:rPr>
          <w:sz w:val="22"/>
          <w:szCs w:val="22"/>
        </w:rPr>
        <w:t>nergy hitting the Earth depend on its distance from the Sun and therefore on the e</w:t>
      </w:r>
      <w:r w:rsidR="00D6662F" w:rsidRPr="00A061F8">
        <w:rPr>
          <w:sz w:val="22"/>
          <w:szCs w:val="22"/>
        </w:rPr>
        <w:t>c</w:t>
      </w:r>
      <w:r w:rsidRPr="00A061F8">
        <w:rPr>
          <w:sz w:val="22"/>
          <w:szCs w:val="22"/>
        </w:rPr>
        <w:t>lip</w:t>
      </w:r>
      <w:r w:rsidR="00D6662F" w:rsidRPr="00A061F8">
        <w:rPr>
          <w:sz w:val="22"/>
          <w:szCs w:val="22"/>
        </w:rPr>
        <w:t>tically</w:t>
      </w:r>
      <w:r w:rsidRPr="00A061F8">
        <w:rPr>
          <w:sz w:val="22"/>
          <w:szCs w:val="22"/>
        </w:rPr>
        <w:t xml:space="preserve">, but the distribution of the radiation over the globe depends on the tilt and precession. </w:t>
      </w:r>
      <w:r w:rsidR="00D6662F" w:rsidRPr="00A061F8">
        <w:rPr>
          <w:sz w:val="22"/>
          <w:szCs w:val="22"/>
        </w:rPr>
        <w:t>The</w:t>
      </w:r>
      <w:r w:rsidRPr="00A061F8">
        <w:rPr>
          <w:sz w:val="22"/>
          <w:szCs w:val="22"/>
        </w:rPr>
        <w:t xml:space="preserve"> amount of energy arriving in summer at high latitudes determines </w:t>
      </w:r>
      <w:r w:rsidR="00D6662F" w:rsidRPr="00A061F8">
        <w:rPr>
          <w:sz w:val="22"/>
          <w:szCs w:val="22"/>
        </w:rPr>
        <w:t>whether</w:t>
      </w:r>
      <w:r w:rsidRPr="00A061F8">
        <w:rPr>
          <w:sz w:val="22"/>
          <w:szCs w:val="22"/>
        </w:rPr>
        <w:t xml:space="preserve"> the winter growth of the ice cap will recede or wetter the climate will be precipitated in to an ice age. Thus change to seasonal irradiance. </w:t>
      </w:r>
      <w:r w:rsidR="00D6662F" w:rsidRPr="00A061F8">
        <w:rPr>
          <w:sz w:val="22"/>
          <w:szCs w:val="22"/>
        </w:rPr>
        <w:t>The</w:t>
      </w:r>
      <w:r w:rsidRPr="00A061F8">
        <w:rPr>
          <w:sz w:val="22"/>
          <w:szCs w:val="22"/>
        </w:rPr>
        <w:t xml:space="preserve"> total solar energy hitting the Earth depends on </w:t>
      </w:r>
      <w:r w:rsidR="00D6662F" w:rsidRPr="00A061F8">
        <w:rPr>
          <w:sz w:val="22"/>
          <w:szCs w:val="22"/>
        </w:rPr>
        <w:t>its</w:t>
      </w:r>
      <w:r w:rsidRPr="00A061F8">
        <w:rPr>
          <w:sz w:val="22"/>
          <w:szCs w:val="22"/>
        </w:rPr>
        <w:t xml:space="preserve"> distance from the Sun.The Sun has an effect on climate </w:t>
      </w:r>
      <w:r w:rsidR="00CF37EA" w:rsidRPr="00A061F8">
        <w:rPr>
          <w:sz w:val="22"/>
          <w:szCs w:val="22"/>
        </w:rPr>
        <w:t>byits</w:t>
      </w:r>
      <w:r w:rsidRPr="00A061F8">
        <w:rPr>
          <w:sz w:val="22"/>
          <w:szCs w:val="22"/>
        </w:rPr>
        <w:t xml:space="preserve"> radiation </w:t>
      </w:r>
      <w:r w:rsidR="00CF37EA" w:rsidRPr="00A061F8">
        <w:rPr>
          <w:sz w:val="22"/>
          <w:szCs w:val="22"/>
        </w:rPr>
        <w:t>and</w:t>
      </w:r>
      <w:r w:rsidRPr="00A061F8">
        <w:rPr>
          <w:sz w:val="22"/>
          <w:szCs w:val="22"/>
        </w:rPr>
        <w:t xml:space="preserve"> the main energy source of our Planet. Space weather may also in long term effect the </w:t>
      </w:r>
      <w:r w:rsidR="00CF37EA" w:rsidRPr="00A061F8">
        <w:rPr>
          <w:sz w:val="22"/>
          <w:szCs w:val="22"/>
        </w:rPr>
        <w:t>E</w:t>
      </w:r>
      <w:r w:rsidRPr="00A061F8">
        <w:rPr>
          <w:sz w:val="22"/>
          <w:szCs w:val="22"/>
        </w:rPr>
        <w:t xml:space="preserve">arth </w:t>
      </w:r>
      <w:r w:rsidR="00CF37EA" w:rsidRPr="00A061F8">
        <w:rPr>
          <w:sz w:val="22"/>
          <w:szCs w:val="22"/>
        </w:rPr>
        <w:t xml:space="preserve">climate. </w:t>
      </w:r>
      <w:r w:rsidR="00CF37EA" w:rsidRPr="00A061F8">
        <w:rPr>
          <w:bCs/>
          <w:color w:val="000000"/>
          <w:sz w:val="22"/>
          <w:szCs w:val="22"/>
        </w:rPr>
        <w:t>Solar u</w:t>
      </w:r>
      <w:r w:rsidRPr="00A061F8">
        <w:rPr>
          <w:bCs/>
          <w:color w:val="000000"/>
          <w:sz w:val="22"/>
          <w:szCs w:val="22"/>
        </w:rPr>
        <w:t xml:space="preserve">ltraviolet, visible and heat radiation are primary factor for </w:t>
      </w:r>
      <w:r w:rsidR="00CF37EA" w:rsidRPr="00A061F8">
        <w:rPr>
          <w:bCs/>
          <w:color w:val="000000"/>
          <w:sz w:val="22"/>
          <w:szCs w:val="22"/>
        </w:rPr>
        <w:t>E</w:t>
      </w:r>
      <w:r w:rsidRPr="00A061F8">
        <w:rPr>
          <w:bCs/>
          <w:color w:val="000000"/>
          <w:sz w:val="22"/>
          <w:szCs w:val="22"/>
        </w:rPr>
        <w:t xml:space="preserve">arth’s climate. </w:t>
      </w:r>
      <w:r w:rsidR="00CF37EA" w:rsidRPr="00A061F8">
        <w:rPr>
          <w:bCs/>
          <w:color w:val="000000"/>
          <w:sz w:val="22"/>
          <w:szCs w:val="22"/>
        </w:rPr>
        <w:t>Sunspots have</w:t>
      </w:r>
      <w:r w:rsidRPr="00A061F8">
        <w:rPr>
          <w:bCs/>
          <w:color w:val="000000"/>
          <w:sz w:val="22"/>
          <w:szCs w:val="22"/>
        </w:rPr>
        <w:t xml:space="preserve"> been recorded through </w:t>
      </w:r>
      <w:r w:rsidR="00CF37EA" w:rsidRPr="00A061F8">
        <w:rPr>
          <w:bCs/>
          <w:color w:val="000000"/>
          <w:sz w:val="22"/>
          <w:szCs w:val="22"/>
        </w:rPr>
        <w:t>several hundreds of</w:t>
      </w:r>
      <w:r w:rsidRPr="00A061F8">
        <w:rPr>
          <w:bCs/>
          <w:color w:val="000000"/>
          <w:sz w:val="22"/>
          <w:szCs w:val="22"/>
        </w:rPr>
        <w:t xml:space="preserve"> year </w:t>
      </w:r>
      <w:r w:rsidR="00CF37EA" w:rsidRPr="00A061F8">
        <w:rPr>
          <w:bCs/>
          <w:color w:val="000000"/>
          <w:sz w:val="22"/>
          <w:szCs w:val="22"/>
        </w:rPr>
        <w:t xml:space="preserve">and </w:t>
      </w:r>
      <w:r w:rsidRPr="00A061F8">
        <w:rPr>
          <w:bCs/>
          <w:color w:val="000000"/>
          <w:sz w:val="22"/>
          <w:szCs w:val="22"/>
        </w:rPr>
        <w:t xml:space="preserve">many </w:t>
      </w:r>
      <w:r w:rsidR="00CF37EA" w:rsidRPr="00A061F8">
        <w:rPr>
          <w:bCs/>
          <w:color w:val="000000"/>
          <w:sz w:val="22"/>
          <w:szCs w:val="22"/>
        </w:rPr>
        <w:t>scientists observed</w:t>
      </w:r>
      <w:r w:rsidRPr="00A061F8">
        <w:rPr>
          <w:bCs/>
          <w:color w:val="000000"/>
          <w:sz w:val="22"/>
          <w:szCs w:val="22"/>
        </w:rPr>
        <w:t xml:space="preserve"> correlation between the solar magnetic </w:t>
      </w:r>
      <w:r w:rsidR="00CF37EA" w:rsidRPr="00A061F8">
        <w:rPr>
          <w:bCs/>
          <w:color w:val="000000"/>
          <w:sz w:val="22"/>
          <w:szCs w:val="22"/>
        </w:rPr>
        <w:t>activity,</w:t>
      </w:r>
      <w:r w:rsidRPr="00A061F8">
        <w:rPr>
          <w:bCs/>
          <w:color w:val="000000"/>
          <w:sz w:val="22"/>
          <w:szCs w:val="22"/>
        </w:rPr>
        <w:t xml:space="preserve"> which reflected in the sunspot frequency, and climate parameter at </w:t>
      </w:r>
      <w:r w:rsidR="00CF37EA" w:rsidRPr="00A061F8">
        <w:rPr>
          <w:bCs/>
          <w:color w:val="000000"/>
          <w:sz w:val="22"/>
          <w:szCs w:val="22"/>
        </w:rPr>
        <w:t>E</w:t>
      </w:r>
      <w:r w:rsidRPr="00A061F8">
        <w:rPr>
          <w:bCs/>
          <w:color w:val="000000"/>
          <w:sz w:val="22"/>
          <w:szCs w:val="22"/>
        </w:rPr>
        <w:t xml:space="preserve">arth. 70-90 year </w:t>
      </w:r>
      <w:r w:rsidR="00CF37EA" w:rsidRPr="00A061F8">
        <w:rPr>
          <w:bCs/>
          <w:color w:val="000000"/>
          <w:sz w:val="22"/>
          <w:szCs w:val="22"/>
        </w:rPr>
        <w:t>oscillation in global mean temperature is</w:t>
      </w:r>
      <w:r w:rsidRPr="00A061F8">
        <w:rPr>
          <w:bCs/>
          <w:color w:val="000000"/>
          <w:sz w:val="22"/>
          <w:szCs w:val="22"/>
        </w:rPr>
        <w:t xml:space="preserve"> correlated with corresponding oscillation in solar activity. The role of Sun </w:t>
      </w:r>
      <w:r w:rsidR="00CF37EA" w:rsidRPr="00A061F8">
        <w:rPr>
          <w:bCs/>
          <w:color w:val="000000"/>
          <w:sz w:val="22"/>
          <w:szCs w:val="22"/>
        </w:rPr>
        <w:t>also had been</w:t>
      </w:r>
      <w:r w:rsidRPr="00A061F8">
        <w:rPr>
          <w:bCs/>
          <w:color w:val="000000"/>
          <w:sz w:val="22"/>
          <w:szCs w:val="22"/>
        </w:rPr>
        <w:t xml:space="preserve"> providing the Earth with energy for billions of years. </w:t>
      </w:r>
    </w:p>
    <w:p w:rsidR="0085623E" w:rsidRPr="00A061F8" w:rsidRDefault="00D6662F" w:rsidP="00537AF1">
      <w:pPr>
        <w:pStyle w:val="NormalWeb"/>
        <w:spacing w:before="120" w:beforeAutospacing="0" w:after="120" w:afterAutospacing="0"/>
        <w:jc w:val="both"/>
        <w:rPr>
          <w:rStyle w:val="Hyperlink"/>
          <w:b/>
          <w:color w:val="auto"/>
          <w:sz w:val="22"/>
          <w:szCs w:val="22"/>
          <w:u w:val="none"/>
        </w:rPr>
      </w:pPr>
      <w:r w:rsidRPr="00A061F8">
        <w:rPr>
          <w:rStyle w:val="Hyperlink"/>
          <w:b/>
          <w:color w:val="auto"/>
          <w:sz w:val="22"/>
          <w:szCs w:val="22"/>
          <w:u w:val="none"/>
        </w:rPr>
        <w:t>Introduction</w:t>
      </w:r>
    </w:p>
    <w:p w:rsidR="00936C0E" w:rsidRDefault="00936C0E" w:rsidP="00537AF1">
      <w:pPr>
        <w:tabs>
          <w:tab w:val="left" w:pos="270"/>
          <w:tab w:val="left" w:pos="810"/>
        </w:tabs>
        <w:jc w:val="both"/>
        <w:rPr>
          <w:sz w:val="22"/>
          <w:szCs w:val="22"/>
        </w:rPr>
      </w:pPr>
      <w:r w:rsidRPr="00A061F8">
        <w:rPr>
          <w:sz w:val="22"/>
          <w:szCs w:val="22"/>
        </w:rPr>
        <w:t xml:space="preserve">The Sun is the major source of energy for Earth’s ocean, atmosphere, land, and biosphere, averaged over an entire year approximately 342 watts of solar energy fall upon every square meter of Earth. As a comparison, large electric power plants produce about 1 billion watts of power to be exact. The total amount of energy Earth receives from the Sun and then subtract the total amount of energy each reflects and emits back to space, arrive  solar energy is called energy budget. Sun’s energy enter </w:t>
      </w:r>
      <w:r w:rsidR="00A45A27">
        <w:rPr>
          <w:sz w:val="22"/>
          <w:szCs w:val="22"/>
        </w:rPr>
        <w:t>E</w:t>
      </w:r>
      <w:r w:rsidRPr="00A061F8">
        <w:rPr>
          <w:sz w:val="22"/>
          <w:szCs w:val="22"/>
        </w:rPr>
        <w:t xml:space="preserve">arth’s atmosphere make it to the surface. The atmosphere reflects some of the incoming Solar energy back to space immediately and absorbs still more energy before it can reach the surface. The remaining solar energy strikes Earth and warms the surface. </w:t>
      </w:r>
    </w:p>
    <w:p w:rsidR="00A061F8" w:rsidRPr="00A061F8" w:rsidRDefault="00A061F8" w:rsidP="00537AF1">
      <w:pPr>
        <w:tabs>
          <w:tab w:val="left" w:pos="270"/>
          <w:tab w:val="left" w:pos="810"/>
        </w:tabs>
        <w:jc w:val="both"/>
        <w:rPr>
          <w:sz w:val="22"/>
          <w:szCs w:val="22"/>
        </w:rPr>
      </w:pPr>
    </w:p>
    <w:p w:rsidR="00936C0E" w:rsidRPr="00A061F8" w:rsidRDefault="00936C0E" w:rsidP="00537AF1">
      <w:pPr>
        <w:tabs>
          <w:tab w:val="left" w:pos="270"/>
          <w:tab w:val="left" w:pos="810"/>
        </w:tabs>
        <w:jc w:val="both"/>
        <w:rPr>
          <w:sz w:val="22"/>
          <w:szCs w:val="22"/>
        </w:rPr>
      </w:pPr>
      <w:r w:rsidRPr="00A061F8">
        <w:rPr>
          <w:sz w:val="22"/>
          <w:szCs w:val="22"/>
        </w:rPr>
        <w:t xml:space="preserve">The amount of change from season to season varies depending on the planet’s surface. Near the equator, the amount of solar energy received stays fairly constant throughout the year and there is not much difference between summer and winter. In contrast, areas near the poles experience significant differences between summer and winter. In the hemisphere where it is summer, the pole points toward the Sun and receives almost as much energy as the equator. Meanwhile, in the winter hemisphere, the pole points away from the Sun, and high latitudes receives little if any solar energy, given enough time and bearing outside influences, Earth’s climate system will naturally distribute heat evenly over </w:t>
      </w:r>
      <w:r w:rsidR="00A45A27">
        <w:rPr>
          <w:sz w:val="22"/>
          <w:szCs w:val="22"/>
        </w:rPr>
        <w:t>E</w:t>
      </w:r>
      <w:r w:rsidRPr="00A061F8">
        <w:rPr>
          <w:sz w:val="22"/>
          <w:szCs w:val="22"/>
        </w:rPr>
        <w:t>arth’s surface. Winds and ocean currents help to achieve this balance.in the winter hemisphere, there much more heat energy concentrated in the tropics than there is at pole.</w:t>
      </w:r>
    </w:p>
    <w:p w:rsidR="00936C0E" w:rsidRPr="00A061F8" w:rsidRDefault="00063CB1" w:rsidP="00537AF1">
      <w:pPr>
        <w:tabs>
          <w:tab w:val="left" w:pos="270"/>
          <w:tab w:val="left" w:pos="810"/>
        </w:tabs>
        <w:spacing w:before="120" w:after="120"/>
        <w:jc w:val="both"/>
        <w:rPr>
          <w:b/>
          <w:sz w:val="22"/>
          <w:szCs w:val="22"/>
        </w:rPr>
      </w:pPr>
      <w:r w:rsidRPr="00A061F8">
        <w:rPr>
          <w:b/>
          <w:sz w:val="22"/>
          <w:szCs w:val="22"/>
        </w:rPr>
        <w:t>The Sun and Climate</w:t>
      </w:r>
    </w:p>
    <w:p w:rsidR="0085623E" w:rsidRDefault="0085623E" w:rsidP="00537AF1">
      <w:pPr>
        <w:tabs>
          <w:tab w:val="left" w:pos="270"/>
          <w:tab w:val="left" w:pos="810"/>
        </w:tabs>
        <w:jc w:val="both"/>
        <w:rPr>
          <w:sz w:val="22"/>
          <w:szCs w:val="22"/>
        </w:rPr>
      </w:pPr>
      <w:r w:rsidRPr="00A061F8">
        <w:rPr>
          <w:sz w:val="22"/>
          <w:szCs w:val="22"/>
        </w:rPr>
        <w:t>The solar acti</w:t>
      </w:r>
      <w:r w:rsidR="00D6662F" w:rsidRPr="00A061F8">
        <w:rPr>
          <w:sz w:val="22"/>
          <w:szCs w:val="22"/>
        </w:rPr>
        <w:t xml:space="preserve">vity has disastrous impact on </w:t>
      </w:r>
      <w:r w:rsidRPr="00A061F8">
        <w:rPr>
          <w:sz w:val="22"/>
          <w:szCs w:val="22"/>
        </w:rPr>
        <w:t>Earth space environment</w:t>
      </w:r>
      <w:r w:rsidR="00D6662F" w:rsidRPr="00A061F8">
        <w:rPr>
          <w:sz w:val="22"/>
          <w:szCs w:val="22"/>
        </w:rPr>
        <w:t xml:space="preserve">. The most direct influence would come if the change meant a rise or fall in the total energy the Sun radiated upon the Earth, called “Solar </w:t>
      </w:r>
      <w:r w:rsidR="00936C0E" w:rsidRPr="00A061F8">
        <w:rPr>
          <w:sz w:val="22"/>
          <w:szCs w:val="22"/>
        </w:rPr>
        <w:t>Constant”. The</w:t>
      </w:r>
      <w:r w:rsidRPr="00A061F8">
        <w:rPr>
          <w:sz w:val="22"/>
          <w:szCs w:val="22"/>
        </w:rPr>
        <w:t xml:space="preserve"> solar energy flow from Sun’s surface to </w:t>
      </w:r>
      <w:r w:rsidR="00475E72" w:rsidRPr="00A061F8">
        <w:rPr>
          <w:sz w:val="22"/>
          <w:szCs w:val="22"/>
        </w:rPr>
        <w:t>E</w:t>
      </w:r>
      <w:r w:rsidRPr="00A061F8">
        <w:rPr>
          <w:sz w:val="22"/>
          <w:szCs w:val="22"/>
        </w:rPr>
        <w:t xml:space="preserve">arth’s enables our life by heating the planet, fueling photosynthesis to plant and powering the interaction among </w:t>
      </w:r>
      <w:r w:rsidR="00475E72" w:rsidRPr="00A061F8">
        <w:rPr>
          <w:sz w:val="22"/>
          <w:szCs w:val="22"/>
        </w:rPr>
        <w:t>Oceans, Land</w:t>
      </w:r>
      <w:r w:rsidRPr="00A061F8">
        <w:rPr>
          <w:sz w:val="22"/>
          <w:szCs w:val="22"/>
        </w:rPr>
        <w:t xml:space="preserve"> and atmosphere. Sun energy flow from the </w:t>
      </w:r>
      <w:r w:rsidR="00A45A27">
        <w:rPr>
          <w:sz w:val="22"/>
          <w:szCs w:val="22"/>
        </w:rPr>
        <w:t>solar</w:t>
      </w:r>
      <w:r w:rsidRPr="00A061F8">
        <w:rPr>
          <w:sz w:val="22"/>
          <w:szCs w:val="22"/>
        </w:rPr>
        <w:t xml:space="preserve"> surface enables our life to generate weather and </w:t>
      </w:r>
      <w:r w:rsidR="00475E72" w:rsidRPr="00A061F8">
        <w:rPr>
          <w:sz w:val="22"/>
          <w:szCs w:val="22"/>
        </w:rPr>
        <w:t xml:space="preserve">climate. </w:t>
      </w:r>
    </w:p>
    <w:p w:rsidR="00A061F8" w:rsidRPr="00A061F8" w:rsidRDefault="00A061F8" w:rsidP="00537AF1">
      <w:pPr>
        <w:tabs>
          <w:tab w:val="left" w:pos="270"/>
          <w:tab w:val="left" w:pos="810"/>
        </w:tabs>
        <w:jc w:val="both"/>
        <w:rPr>
          <w:sz w:val="22"/>
          <w:szCs w:val="22"/>
        </w:rPr>
      </w:pPr>
    </w:p>
    <w:p w:rsidR="0085623E" w:rsidRPr="00A061F8" w:rsidRDefault="00936C0E" w:rsidP="00537AF1">
      <w:pPr>
        <w:tabs>
          <w:tab w:val="left" w:pos="270"/>
          <w:tab w:val="left" w:pos="810"/>
        </w:tabs>
        <w:jc w:val="both"/>
        <w:rPr>
          <w:sz w:val="22"/>
          <w:szCs w:val="22"/>
        </w:rPr>
      </w:pPr>
      <w:r w:rsidRPr="00A061F8">
        <w:rPr>
          <w:sz w:val="22"/>
          <w:szCs w:val="22"/>
        </w:rPr>
        <w:t xml:space="preserve">Solar </w:t>
      </w:r>
      <w:r w:rsidR="00A45A27">
        <w:rPr>
          <w:sz w:val="22"/>
          <w:szCs w:val="22"/>
        </w:rPr>
        <w:t>ultraviolet (</w:t>
      </w:r>
      <w:r w:rsidR="0085623E" w:rsidRPr="00A061F8">
        <w:rPr>
          <w:sz w:val="22"/>
          <w:szCs w:val="22"/>
        </w:rPr>
        <w:t>UV</w:t>
      </w:r>
      <w:r w:rsidR="00A45A27">
        <w:rPr>
          <w:sz w:val="22"/>
          <w:szCs w:val="22"/>
        </w:rPr>
        <w:t>)</w:t>
      </w:r>
      <w:r w:rsidR="0085623E" w:rsidRPr="00A061F8">
        <w:rPr>
          <w:sz w:val="22"/>
          <w:szCs w:val="22"/>
        </w:rPr>
        <w:t xml:space="preserve"> light is absorbed above the </w:t>
      </w:r>
      <w:r w:rsidR="00A45A27">
        <w:rPr>
          <w:sz w:val="22"/>
          <w:szCs w:val="22"/>
        </w:rPr>
        <w:t>E</w:t>
      </w:r>
      <w:r w:rsidR="0085623E" w:rsidRPr="00A061F8">
        <w:rPr>
          <w:sz w:val="22"/>
          <w:szCs w:val="22"/>
        </w:rPr>
        <w:t xml:space="preserve">arth’s surface and causes increasingly larger variations in the atmosphere. </w:t>
      </w:r>
      <w:r w:rsidRPr="00A061F8">
        <w:rPr>
          <w:sz w:val="22"/>
          <w:szCs w:val="22"/>
        </w:rPr>
        <w:t>Light</w:t>
      </w:r>
      <w:r w:rsidR="0085623E" w:rsidRPr="00A061F8">
        <w:rPr>
          <w:sz w:val="22"/>
          <w:szCs w:val="22"/>
        </w:rPr>
        <w:t xml:space="preserve"> emitted from the Sun’s outer atmosphere, creating within it the </w:t>
      </w:r>
      <w:r w:rsidRPr="00A061F8">
        <w:rPr>
          <w:sz w:val="22"/>
          <w:szCs w:val="22"/>
        </w:rPr>
        <w:t>ionosphere, layer</w:t>
      </w:r>
      <w:r w:rsidR="0085623E" w:rsidRPr="00A061F8">
        <w:rPr>
          <w:sz w:val="22"/>
          <w:szCs w:val="22"/>
        </w:rPr>
        <w:t xml:space="preserve"> of ionized gases. </w:t>
      </w:r>
      <w:r w:rsidRPr="00A061F8">
        <w:rPr>
          <w:sz w:val="22"/>
          <w:szCs w:val="22"/>
        </w:rPr>
        <w:t>Light</w:t>
      </w:r>
      <w:r w:rsidR="0085623E" w:rsidRPr="00A061F8">
        <w:rPr>
          <w:sz w:val="22"/>
          <w:szCs w:val="22"/>
        </w:rPr>
        <w:t xml:space="preserve"> emitted from the Sun’s lower atmosphere is absorbed in the Earth’s middle atmosphere where it creates the ozone layer. Ozone layer protects us from UV </w:t>
      </w:r>
      <w:r w:rsidR="0085623E" w:rsidRPr="00A061F8">
        <w:rPr>
          <w:sz w:val="22"/>
          <w:szCs w:val="22"/>
        </w:rPr>
        <w:lastRenderedPageBreak/>
        <w:t xml:space="preserve">radiation that can </w:t>
      </w:r>
      <w:r w:rsidRPr="00A061F8">
        <w:rPr>
          <w:sz w:val="22"/>
          <w:szCs w:val="22"/>
        </w:rPr>
        <w:t>damage</w:t>
      </w:r>
      <w:r w:rsidR="00A45A27">
        <w:rPr>
          <w:sz w:val="22"/>
          <w:szCs w:val="22"/>
        </w:rPr>
        <w:t xml:space="preserve"> cells in the p</w:t>
      </w:r>
      <w:r w:rsidR="0085623E" w:rsidRPr="00A061F8">
        <w:rPr>
          <w:sz w:val="22"/>
          <w:szCs w:val="22"/>
        </w:rPr>
        <w:t xml:space="preserve">lants and animals an in us. Ozone layers absorption of </w:t>
      </w:r>
      <w:r w:rsidRPr="00A061F8">
        <w:rPr>
          <w:sz w:val="22"/>
          <w:szCs w:val="22"/>
        </w:rPr>
        <w:t>s</w:t>
      </w:r>
      <w:r w:rsidR="0085623E" w:rsidRPr="00A061F8">
        <w:rPr>
          <w:sz w:val="22"/>
          <w:szCs w:val="22"/>
        </w:rPr>
        <w:t xml:space="preserve">olar UV light heat the atmosphere there making it warmer and reversing </w:t>
      </w:r>
      <w:r w:rsidRPr="00A061F8">
        <w:rPr>
          <w:sz w:val="22"/>
          <w:szCs w:val="22"/>
        </w:rPr>
        <w:t>its</w:t>
      </w:r>
      <w:r w:rsidR="0085623E" w:rsidRPr="00A061F8">
        <w:rPr>
          <w:sz w:val="22"/>
          <w:szCs w:val="22"/>
        </w:rPr>
        <w:t xml:space="preserve"> cooling trends with altit</w:t>
      </w:r>
      <w:r w:rsidR="00A45A27">
        <w:rPr>
          <w:sz w:val="22"/>
          <w:szCs w:val="22"/>
        </w:rPr>
        <w:t>ude away from the surface. The o</w:t>
      </w:r>
      <w:r w:rsidR="0085623E" w:rsidRPr="00A061F8">
        <w:rPr>
          <w:sz w:val="22"/>
          <w:szCs w:val="22"/>
        </w:rPr>
        <w:t xml:space="preserve">zone layer protects us from UV radiation that can </w:t>
      </w:r>
      <w:r w:rsidRPr="00A061F8">
        <w:rPr>
          <w:sz w:val="22"/>
          <w:szCs w:val="22"/>
        </w:rPr>
        <w:t>damage</w:t>
      </w:r>
      <w:r w:rsidR="0085623E" w:rsidRPr="00A061F8">
        <w:rPr>
          <w:sz w:val="22"/>
          <w:szCs w:val="22"/>
        </w:rPr>
        <w:t xml:space="preserve"> cells in plants and animals and in us. </w:t>
      </w:r>
      <w:r w:rsidRPr="00A061F8">
        <w:rPr>
          <w:sz w:val="22"/>
          <w:szCs w:val="22"/>
        </w:rPr>
        <w:t>Space</w:t>
      </w:r>
      <w:r w:rsidR="0085623E" w:rsidRPr="00A061F8">
        <w:rPr>
          <w:sz w:val="22"/>
          <w:szCs w:val="22"/>
        </w:rPr>
        <w:t xml:space="preserve"> between the </w:t>
      </w:r>
      <w:r w:rsidRPr="00A061F8">
        <w:rPr>
          <w:sz w:val="22"/>
          <w:szCs w:val="22"/>
        </w:rPr>
        <w:t>S</w:t>
      </w:r>
      <w:r w:rsidR="0085623E" w:rsidRPr="00A061F8">
        <w:rPr>
          <w:sz w:val="22"/>
          <w:szCs w:val="22"/>
        </w:rPr>
        <w:t xml:space="preserve">un and </w:t>
      </w:r>
      <w:r w:rsidRPr="00A061F8">
        <w:rPr>
          <w:sz w:val="22"/>
          <w:szCs w:val="22"/>
        </w:rPr>
        <w:t>E</w:t>
      </w:r>
      <w:r w:rsidR="0085623E" w:rsidRPr="00A061F8">
        <w:rPr>
          <w:sz w:val="22"/>
          <w:szCs w:val="22"/>
        </w:rPr>
        <w:t xml:space="preserve">arth </w:t>
      </w:r>
      <w:r w:rsidRPr="00A061F8">
        <w:rPr>
          <w:sz w:val="22"/>
          <w:szCs w:val="22"/>
        </w:rPr>
        <w:t>empty, but</w:t>
      </w:r>
      <w:r w:rsidR="0085623E" w:rsidRPr="00A061F8">
        <w:rPr>
          <w:sz w:val="22"/>
          <w:szCs w:val="22"/>
        </w:rPr>
        <w:t xml:space="preserve"> charged particles and magnetic field are there called heliosphere. </w:t>
      </w:r>
      <w:r w:rsidRPr="00A061F8">
        <w:rPr>
          <w:sz w:val="22"/>
          <w:szCs w:val="22"/>
        </w:rPr>
        <w:t>A</w:t>
      </w:r>
      <w:r w:rsidR="0085623E" w:rsidRPr="00A061F8">
        <w:rPr>
          <w:sz w:val="22"/>
          <w:szCs w:val="22"/>
        </w:rPr>
        <w:t xml:space="preserve"> solar wind of plasma by expanding </w:t>
      </w:r>
      <w:r w:rsidR="00063CB1" w:rsidRPr="00A061F8">
        <w:rPr>
          <w:sz w:val="22"/>
          <w:szCs w:val="22"/>
        </w:rPr>
        <w:t>atmosphere,</w:t>
      </w:r>
      <w:r w:rsidR="0085623E" w:rsidRPr="00A061F8">
        <w:rPr>
          <w:sz w:val="22"/>
          <w:szCs w:val="22"/>
        </w:rPr>
        <w:t xml:space="preserve">can </w:t>
      </w:r>
      <w:r w:rsidR="00063CB1" w:rsidRPr="00A061F8">
        <w:rPr>
          <w:sz w:val="22"/>
          <w:szCs w:val="22"/>
        </w:rPr>
        <w:t>dramatically affect</w:t>
      </w:r>
      <w:r w:rsidR="0085623E" w:rsidRPr="00A061F8">
        <w:rPr>
          <w:sz w:val="22"/>
          <w:szCs w:val="22"/>
        </w:rPr>
        <w:t xml:space="preserve"> the</w:t>
      </w:r>
      <w:r w:rsidR="00063CB1" w:rsidRPr="00A061F8">
        <w:rPr>
          <w:sz w:val="22"/>
          <w:szCs w:val="22"/>
        </w:rPr>
        <w:t xml:space="preserve"> g</w:t>
      </w:r>
      <w:r w:rsidR="0085623E" w:rsidRPr="00A061F8">
        <w:rPr>
          <w:sz w:val="22"/>
          <w:szCs w:val="22"/>
        </w:rPr>
        <w:t>eo</w:t>
      </w:r>
      <w:r w:rsidR="00063CB1" w:rsidRPr="00A061F8">
        <w:rPr>
          <w:sz w:val="22"/>
          <w:szCs w:val="22"/>
        </w:rPr>
        <w:t>-</w:t>
      </w:r>
      <w:r w:rsidR="0085623E" w:rsidRPr="00A061F8">
        <w:rPr>
          <w:sz w:val="22"/>
          <w:szCs w:val="22"/>
        </w:rPr>
        <w:t xml:space="preserve">space region around the Earth. </w:t>
      </w:r>
      <w:r w:rsidR="00063CB1" w:rsidRPr="00A061F8">
        <w:rPr>
          <w:sz w:val="22"/>
          <w:szCs w:val="22"/>
        </w:rPr>
        <w:t>Sometimes</w:t>
      </w:r>
      <w:r w:rsidR="0085623E" w:rsidRPr="00A061F8">
        <w:rPr>
          <w:sz w:val="22"/>
          <w:szCs w:val="22"/>
        </w:rPr>
        <w:t>, the solar wind can made geo</w:t>
      </w:r>
      <w:r w:rsidR="00063CB1" w:rsidRPr="00A061F8">
        <w:rPr>
          <w:sz w:val="22"/>
          <w:szCs w:val="22"/>
        </w:rPr>
        <w:t>-</w:t>
      </w:r>
      <w:r w:rsidR="0085623E" w:rsidRPr="00A061F8">
        <w:rPr>
          <w:sz w:val="22"/>
          <w:szCs w:val="22"/>
        </w:rPr>
        <w:t xml:space="preserve">space so, complex that fewer particles from the galaxies reach tree rings and ice </w:t>
      </w:r>
      <w:r w:rsidR="00063CB1" w:rsidRPr="00A061F8">
        <w:rPr>
          <w:sz w:val="22"/>
          <w:szCs w:val="22"/>
        </w:rPr>
        <w:t>cores. The</w:t>
      </w:r>
      <w:r w:rsidR="0085623E" w:rsidRPr="00A061F8">
        <w:rPr>
          <w:sz w:val="22"/>
          <w:szCs w:val="22"/>
        </w:rPr>
        <w:t xml:space="preserve"> cha</w:t>
      </w:r>
      <w:r w:rsidR="00063CB1" w:rsidRPr="00A061F8">
        <w:rPr>
          <w:sz w:val="22"/>
          <w:szCs w:val="22"/>
        </w:rPr>
        <w:t>nged over the past 10,000 years,</w:t>
      </w:r>
      <w:r w:rsidR="0085623E" w:rsidRPr="00A061F8">
        <w:rPr>
          <w:sz w:val="22"/>
          <w:szCs w:val="22"/>
        </w:rPr>
        <w:t xml:space="preserve"> solar constant is often called the solar constant or the total </w:t>
      </w:r>
      <w:r w:rsidR="00063CB1" w:rsidRPr="00A061F8">
        <w:rPr>
          <w:sz w:val="22"/>
          <w:szCs w:val="22"/>
        </w:rPr>
        <w:t>solar irradiance</w:t>
      </w:r>
      <w:r w:rsidR="00A45A27">
        <w:rPr>
          <w:sz w:val="22"/>
          <w:szCs w:val="22"/>
        </w:rPr>
        <w:t>(TSI). I</w:t>
      </w:r>
      <w:r w:rsidR="0085623E" w:rsidRPr="00A061F8">
        <w:rPr>
          <w:sz w:val="22"/>
          <w:szCs w:val="22"/>
        </w:rPr>
        <w:t>t is 1362W/m</w:t>
      </w:r>
      <w:r w:rsidR="0085623E" w:rsidRPr="00A061F8">
        <w:rPr>
          <w:sz w:val="22"/>
          <w:szCs w:val="22"/>
          <w:vertAlign w:val="superscript"/>
        </w:rPr>
        <w:t>2</w:t>
      </w:r>
      <w:r w:rsidR="0085623E" w:rsidRPr="00A061F8">
        <w:rPr>
          <w:sz w:val="22"/>
          <w:szCs w:val="22"/>
        </w:rPr>
        <w:t xml:space="preserve"> is space envir</w:t>
      </w:r>
      <w:r w:rsidR="00063CB1" w:rsidRPr="00A061F8">
        <w:rPr>
          <w:sz w:val="22"/>
          <w:szCs w:val="22"/>
        </w:rPr>
        <w:t>onment shows us that the total b</w:t>
      </w:r>
      <w:r w:rsidR="0085623E" w:rsidRPr="00A061F8">
        <w:rPr>
          <w:sz w:val="22"/>
          <w:szCs w:val="22"/>
        </w:rPr>
        <w:t xml:space="preserve">rightness changes in harmony with sunspot </w:t>
      </w:r>
      <w:r w:rsidR="00A45A27">
        <w:rPr>
          <w:sz w:val="22"/>
          <w:szCs w:val="22"/>
        </w:rPr>
        <w:t>n</w:t>
      </w:r>
      <w:r w:rsidR="0085623E" w:rsidRPr="00A061F8">
        <w:rPr>
          <w:sz w:val="22"/>
          <w:szCs w:val="22"/>
        </w:rPr>
        <w:t xml:space="preserve">umber. </w:t>
      </w:r>
      <w:r w:rsidR="00063CB1" w:rsidRPr="00A061F8">
        <w:rPr>
          <w:sz w:val="22"/>
          <w:szCs w:val="22"/>
        </w:rPr>
        <w:t>Onaverage,</w:t>
      </w:r>
      <w:r w:rsidR="0085623E" w:rsidRPr="00A061F8">
        <w:rPr>
          <w:sz w:val="22"/>
          <w:szCs w:val="22"/>
        </w:rPr>
        <w:t xml:space="preserve"> when the sunspot </w:t>
      </w:r>
      <w:r w:rsidR="00A45A27">
        <w:rPr>
          <w:sz w:val="22"/>
          <w:szCs w:val="22"/>
        </w:rPr>
        <w:t>n</w:t>
      </w:r>
      <w:r w:rsidR="0085623E" w:rsidRPr="00A061F8">
        <w:rPr>
          <w:sz w:val="22"/>
          <w:szCs w:val="22"/>
        </w:rPr>
        <w:t xml:space="preserve">umber is larger, the energy from the Sun is also larger the change together through –out the Sun’s 11-year activity </w:t>
      </w:r>
      <w:r w:rsidR="00063CB1" w:rsidRPr="00A061F8">
        <w:rPr>
          <w:sz w:val="22"/>
          <w:szCs w:val="22"/>
        </w:rPr>
        <w:t>cycle. The</w:t>
      </w:r>
      <w:r w:rsidR="0085623E" w:rsidRPr="00A061F8">
        <w:rPr>
          <w:sz w:val="22"/>
          <w:szCs w:val="22"/>
        </w:rPr>
        <w:t xml:space="preserve"> bright faculae more </w:t>
      </w:r>
      <w:r w:rsidR="00063CB1" w:rsidRPr="00A061F8">
        <w:rPr>
          <w:sz w:val="22"/>
          <w:szCs w:val="22"/>
        </w:rPr>
        <w:t>than</w:t>
      </w:r>
      <w:r w:rsidR="0085623E" w:rsidRPr="00A061F8">
        <w:rPr>
          <w:sz w:val="22"/>
          <w:szCs w:val="22"/>
        </w:rPr>
        <w:t xml:space="preserve"> compensate the reduction by dark sunspots. </w:t>
      </w:r>
      <w:r w:rsidR="00063CB1" w:rsidRPr="00A061F8">
        <w:rPr>
          <w:sz w:val="22"/>
          <w:szCs w:val="22"/>
        </w:rPr>
        <w:t>The</w:t>
      </w:r>
      <w:r w:rsidR="0085623E" w:rsidRPr="00A061F8">
        <w:rPr>
          <w:sz w:val="22"/>
          <w:szCs w:val="22"/>
        </w:rPr>
        <w:t xml:space="preserve"> change in the total brightness between the maximum and minimum of the sunspot number is about 0.1% this value depends strongly on the wavelength. </w:t>
      </w:r>
      <w:r w:rsidR="00A45A27">
        <w:rPr>
          <w:sz w:val="22"/>
          <w:szCs w:val="22"/>
        </w:rPr>
        <w:t>T</w:t>
      </w:r>
      <w:r w:rsidR="0085623E" w:rsidRPr="00A061F8">
        <w:rPr>
          <w:sz w:val="22"/>
          <w:szCs w:val="22"/>
        </w:rPr>
        <w:t>he variability of solar UV light is much than 0.1% fluctuation in the Sun’s energy ceaselessly agitate the Sun-</w:t>
      </w:r>
      <w:r w:rsidR="00063CB1" w:rsidRPr="00A061F8">
        <w:rPr>
          <w:sz w:val="22"/>
          <w:szCs w:val="22"/>
        </w:rPr>
        <w:t>E</w:t>
      </w:r>
      <w:r w:rsidR="0085623E" w:rsidRPr="00A061F8">
        <w:rPr>
          <w:sz w:val="22"/>
          <w:szCs w:val="22"/>
        </w:rPr>
        <w:t xml:space="preserve">arth system with </w:t>
      </w:r>
      <w:r w:rsidR="00063CB1" w:rsidRPr="00A061F8">
        <w:rPr>
          <w:sz w:val="22"/>
          <w:szCs w:val="22"/>
        </w:rPr>
        <w:t>condense</w:t>
      </w:r>
      <w:r w:rsidR="0085623E" w:rsidRPr="00A061F8">
        <w:rPr>
          <w:sz w:val="22"/>
          <w:szCs w:val="22"/>
        </w:rPr>
        <w:t xml:space="preserve"> near 11 years, when solar activity increases, the total energy out but increases and the terrestrial responses to solar activity increases naturally with </w:t>
      </w:r>
      <w:r w:rsidR="00063CB1" w:rsidRPr="00A061F8">
        <w:rPr>
          <w:sz w:val="22"/>
          <w:szCs w:val="22"/>
        </w:rPr>
        <w:t>altitudes, the global</w:t>
      </w:r>
      <w:r w:rsidR="0085623E" w:rsidRPr="00A061F8">
        <w:rPr>
          <w:sz w:val="22"/>
          <w:szCs w:val="22"/>
        </w:rPr>
        <w:t xml:space="preserve"> temperature near </w:t>
      </w:r>
      <w:r w:rsidR="00063CB1" w:rsidRPr="00A061F8">
        <w:rPr>
          <w:sz w:val="22"/>
          <w:szCs w:val="22"/>
        </w:rPr>
        <w:t>E</w:t>
      </w:r>
      <w:r w:rsidR="0085623E" w:rsidRPr="00A061F8">
        <w:rPr>
          <w:sz w:val="22"/>
          <w:szCs w:val="22"/>
        </w:rPr>
        <w:t>arth’s surface increased by about 0.1˚ C during t</w:t>
      </w:r>
      <w:r w:rsidR="00063CB1" w:rsidRPr="00A061F8">
        <w:rPr>
          <w:sz w:val="22"/>
          <w:szCs w:val="22"/>
        </w:rPr>
        <w:t>he Sun’s 11-year activity cycle,</w:t>
      </w:r>
      <w:r w:rsidR="0085623E" w:rsidRPr="00A061F8">
        <w:rPr>
          <w:sz w:val="22"/>
          <w:szCs w:val="22"/>
        </w:rPr>
        <w:t xml:space="preserve"> however, the larger cycles of UV produces temperature changes</w:t>
      </w:r>
      <w:r w:rsidR="00A45A27">
        <w:rPr>
          <w:sz w:val="22"/>
          <w:szCs w:val="22"/>
        </w:rPr>
        <w:t xml:space="preserve"> of 1</w:t>
      </w:r>
      <w:r w:rsidR="007B0ABF">
        <w:rPr>
          <w:sz w:val="22"/>
          <w:szCs w:val="22"/>
        </w:rPr>
        <w:t>º</w:t>
      </w:r>
      <w:r w:rsidR="00A45A27">
        <w:rPr>
          <w:sz w:val="22"/>
          <w:szCs w:val="22"/>
        </w:rPr>
        <w:t xml:space="preserve"> at an altitude of 50 km n</w:t>
      </w:r>
      <w:r w:rsidR="0085623E" w:rsidRPr="00A061F8">
        <w:rPr>
          <w:sz w:val="22"/>
          <w:szCs w:val="22"/>
        </w:rPr>
        <w:t>ear 400 kmthe temperature increase a 500</w:t>
      </w:r>
      <w:r w:rsidR="007B0ABF">
        <w:rPr>
          <w:sz w:val="22"/>
          <w:szCs w:val="22"/>
        </w:rPr>
        <w:t>º</w:t>
      </w:r>
      <w:r w:rsidR="0085623E" w:rsidRPr="00A061F8">
        <w:rPr>
          <w:sz w:val="22"/>
          <w:szCs w:val="22"/>
        </w:rPr>
        <w:t xml:space="preserve"> response to fluctuations in UV Light. </w:t>
      </w:r>
      <w:r w:rsidR="00063CB1" w:rsidRPr="00A061F8">
        <w:rPr>
          <w:sz w:val="22"/>
          <w:szCs w:val="22"/>
        </w:rPr>
        <w:t>S</w:t>
      </w:r>
      <w:r w:rsidR="0085623E" w:rsidRPr="00A061F8">
        <w:rPr>
          <w:sz w:val="22"/>
          <w:szCs w:val="22"/>
        </w:rPr>
        <w:t>olar activity models can only roughly reproduce their</w:t>
      </w:r>
      <w:r w:rsidR="00063CB1" w:rsidRPr="00A061F8">
        <w:rPr>
          <w:sz w:val="22"/>
          <w:szCs w:val="22"/>
        </w:rPr>
        <w:t xml:space="preserve"> response to solar variability, </w:t>
      </w:r>
      <w:r w:rsidR="0085623E" w:rsidRPr="00A061F8">
        <w:rPr>
          <w:sz w:val="22"/>
          <w:szCs w:val="22"/>
        </w:rPr>
        <w:t xml:space="preserve">drought and rainfall also seem related to solar variability these phenomena may also affected by the Sun. Changes in the ocean circulation that can occur with </w:t>
      </w:r>
      <w:r w:rsidR="00063CB1" w:rsidRPr="00A061F8">
        <w:rPr>
          <w:sz w:val="22"/>
          <w:szCs w:val="22"/>
        </w:rPr>
        <w:t>s</w:t>
      </w:r>
      <w:r w:rsidR="0085623E" w:rsidRPr="00A061F8">
        <w:rPr>
          <w:sz w:val="22"/>
          <w:szCs w:val="22"/>
        </w:rPr>
        <w:t xml:space="preserve">olar </w:t>
      </w:r>
      <w:r w:rsidR="00063CB1" w:rsidRPr="00A061F8">
        <w:rPr>
          <w:sz w:val="22"/>
          <w:szCs w:val="22"/>
        </w:rPr>
        <w:t>c</w:t>
      </w:r>
      <w:r w:rsidR="0085623E" w:rsidRPr="00A061F8">
        <w:rPr>
          <w:sz w:val="22"/>
          <w:szCs w:val="22"/>
        </w:rPr>
        <w:t xml:space="preserve">ycle. The upper atmosphere beyond the </w:t>
      </w:r>
      <w:r w:rsidR="00063CB1" w:rsidRPr="00A061F8">
        <w:rPr>
          <w:sz w:val="22"/>
          <w:szCs w:val="22"/>
        </w:rPr>
        <w:t>E</w:t>
      </w:r>
      <w:r w:rsidR="0085623E" w:rsidRPr="00A061F8">
        <w:rPr>
          <w:sz w:val="22"/>
          <w:szCs w:val="22"/>
        </w:rPr>
        <w:t xml:space="preserve">arth’s surface is susceptible to more immediate effects of Sun-Earth variability. </w:t>
      </w:r>
      <w:r w:rsidR="00063CB1" w:rsidRPr="00A061F8">
        <w:rPr>
          <w:sz w:val="22"/>
          <w:szCs w:val="22"/>
        </w:rPr>
        <w:t>Solar</w:t>
      </w:r>
      <w:r w:rsidR="0085623E" w:rsidRPr="00A061F8">
        <w:rPr>
          <w:sz w:val="22"/>
          <w:szCs w:val="22"/>
        </w:rPr>
        <w:t xml:space="preserve"> flare </w:t>
      </w:r>
      <w:r w:rsidR="00063CB1" w:rsidRPr="00A061F8">
        <w:rPr>
          <w:sz w:val="22"/>
          <w:szCs w:val="22"/>
        </w:rPr>
        <w:t>eruptions, energetic</w:t>
      </w:r>
      <w:r w:rsidR="0085623E" w:rsidRPr="00A061F8">
        <w:rPr>
          <w:sz w:val="22"/>
          <w:szCs w:val="22"/>
        </w:rPr>
        <w:t xml:space="preserve"> particles can damage space-based technological systems and </w:t>
      </w:r>
      <w:r w:rsidR="00063CB1" w:rsidRPr="00A061F8">
        <w:rPr>
          <w:sz w:val="22"/>
          <w:szCs w:val="22"/>
        </w:rPr>
        <w:t>threaten</w:t>
      </w:r>
      <w:r w:rsidR="0085623E" w:rsidRPr="00A061F8">
        <w:rPr>
          <w:sz w:val="22"/>
          <w:szCs w:val="22"/>
        </w:rPr>
        <w:t xml:space="preserve"> the health of </w:t>
      </w:r>
      <w:r w:rsidR="00063CB1" w:rsidRPr="00A061F8">
        <w:rPr>
          <w:sz w:val="22"/>
          <w:szCs w:val="22"/>
        </w:rPr>
        <w:t>astronauts</w:t>
      </w:r>
      <w:r w:rsidR="0085623E" w:rsidRPr="00A061F8">
        <w:rPr>
          <w:sz w:val="22"/>
          <w:szCs w:val="22"/>
        </w:rPr>
        <w:t xml:space="preserve"> and airplane </w:t>
      </w:r>
      <w:r w:rsidR="00063CB1" w:rsidRPr="00A061F8">
        <w:rPr>
          <w:sz w:val="22"/>
          <w:szCs w:val="22"/>
        </w:rPr>
        <w:t>passenger</w:t>
      </w:r>
      <w:r w:rsidR="0085623E" w:rsidRPr="00A061F8">
        <w:rPr>
          <w:sz w:val="22"/>
          <w:szCs w:val="22"/>
        </w:rPr>
        <w:t xml:space="preserve"> over </w:t>
      </w:r>
      <w:r w:rsidR="00063CB1" w:rsidRPr="00A061F8">
        <w:rPr>
          <w:sz w:val="22"/>
          <w:szCs w:val="22"/>
        </w:rPr>
        <w:t>Polar Regions</w:t>
      </w:r>
      <w:r w:rsidR="0085623E" w:rsidRPr="00A061F8">
        <w:rPr>
          <w:sz w:val="22"/>
          <w:szCs w:val="22"/>
        </w:rPr>
        <w:t>.  S</w:t>
      </w:r>
      <w:r w:rsidR="00063CB1" w:rsidRPr="00A061F8">
        <w:rPr>
          <w:sz w:val="22"/>
          <w:szCs w:val="22"/>
        </w:rPr>
        <w:t>olar</w:t>
      </w:r>
      <w:r w:rsidR="0085623E" w:rsidRPr="00A061F8">
        <w:rPr>
          <w:sz w:val="22"/>
          <w:szCs w:val="22"/>
        </w:rPr>
        <w:t xml:space="preserve">–driven atmosphere-density fluctuation can alter the orbits of satellites in low-orbits of satellite in low-earth orbit. </w:t>
      </w:r>
      <w:r w:rsidR="00063CB1" w:rsidRPr="00A061F8">
        <w:rPr>
          <w:sz w:val="22"/>
          <w:szCs w:val="22"/>
        </w:rPr>
        <w:t>Solar</w:t>
      </w:r>
      <w:r w:rsidR="0085623E" w:rsidRPr="00A061F8">
        <w:rPr>
          <w:sz w:val="22"/>
          <w:szCs w:val="22"/>
        </w:rPr>
        <w:t xml:space="preserve"> flares also interrupt wireless navigation and communication by altering the electron density in the ionosphere. </w:t>
      </w:r>
      <w:r w:rsidR="00063CB1" w:rsidRPr="00A061F8">
        <w:rPr>
          <w:sz w:val="22"/>
          <w:szCs w:val="22"/>
        </w:rPr>
        <w:t>Induced</w:t>
      </w:r>
      <w:r w:rsidR="0085623E" w:rsidRPr="00A061F8">
        <w:rPr>
          <w:sz w:val="22"/>
          <w:szCs w:val="22"/>
        </w:rPr>
        <w:t xml:space="preserve"> ground currents can weaken the electric grid and oil pipeline-potentially causing serious failure.</w:t>
      </w:r>
    </w:p>
    <w:p w:rsidR="000051DA" w:rsidRPr="00A061F8" w:rsidRDefault="000051DA" w:rsidP="00537AF1">
      <w:pPr>
        <w:tabs>
          <w:tab w:val="left" w:pos="270"/>
          <w:tab w:val="left" w:pos="810"/>
        </w:tabs>
        <w:spacing w:before="120" w:after="120"/>
        <w:jc w:val="both"/>
        <w:rPr>
          <w:b/>
          <w:sz w:val="22"/>
          <w:szCs w:val="22"/>
        </w:rPr>
      </w:pPr>
      <w:r w:rsidRPr="00A061F8">
        <w:rPr>
          <w:b/>
          <w:sz w:val="22"/>
          <w:szCs w:val="22"/>
        </w:rPr>
        <w:t>Anthropogenic Influence</w:t>
      </w:r>
    </w:p>
    <w:p w:rsidR="000051DA" w:rsidRPr="00A061F8" w:rsidRDefault="000051DA" w:rsidP="00537AF1">
      <w:pPr>
        <w:tabs>
          <w:tab w:val="left" w:pos="270"/>
          <w:tab w:val="left" w:pos="810"/>
        </w:tabs>
        <w:spacing w:before="120" w:after="120"/>
        <w:jc w:val="both"/>
        <w:rPr>
          <w:sz w:val="22"/>
          <w:szCs w:val="22"/>
        </w:rPr>
      </w:pPr>
      <w:r w:rsidRPr="00A061F8">
        <w:rPr>
          <w:sz w:val="22"/>
          <w:szCs w:val="22"/>
        </w:rPr>
        <w:t xml:space="preserve">The anthropogenic influence on global change, first the influence of the natural factors can be internal (volcanic eruption, atmospheric modes of variability) or external (solar variability, distant stars bursts, passage of the solar system through clouds of galactic dust). Sun is the only big external source of energy which could affect the climate. It well known that the eccentricity, axial tilt, and precession of the </w:t>
      </w:r>
      <w:r w:rsidR="00A45A27">
        <w:rPr>
          <w:sz w:val="22"/>
          <w:szCs w:val="22"/>
        </w:rPr>
        <w:t>E</w:t>
      </w:r>
      <w:r w:rsidR="007B0ABF">
        <w:rPr>
          <w:sz w:val="22"/>
          <w:szCs w:val="22"/>
        </w:rPr>
        <w:t>arth’s orbit lead to long</w:t>
      </w:r>
      <w:r w:rsidRPr="00A061F8">
        <w:rPr>
          <w:sz w:val="22"/>
          <w:szCs w:val="22"/>
        </w:rPr>
        <w:t>–term (~100,000 year) variation of total energy received from the Sun (Milankovich cycle) and respectively</w:t>
      </w:r>
      <w:r w:rsidR="00A45A27">
        <w:rPr>
          <w:sz w:val="22"/>
          <w:szCs w:val="22"/>
        </w:rPr>
        <w:t xml:space="preserve"> in the terrestrial temperature</w:t>
      </w:r>
      <w:r w:rsidRPr="00A061F8">
        <w:rPr>
          <w:sz w:val="22"/>
          <w:szCs w:val="22"/>
        </w:rPr>
        <w:t>. On shorter time scale, from decades to centuries: the reason for solar-induced changes in different manifestation of solar activity and their relation to global change. The most obvious solar parameter influencing the Earth’s climate is the solar irradiance. Direct measurements in the last 30 years have shown that the total solar irra</w:t>
      </w:r>
      <w:r w:rsidR="00A061F8">
        <w:rPr>
          <w:sz w:val="22"/>
          <w:szCs w:val="22"/>
        </w:rPr>
        <w:t>diance solar cycles (Frohlich</w:t>
      </w:r>
      <w:r w:rsidRPr="00A061F8">
        <w:rPr>
          <w:sz w:val="22"/>
          <w:szCs w:val="22"/>
        </w:rPr>
        <w:t xml:space="preserve">, 2005).The Sun has an effect on climate since its radiation is the main energy source for the outer envelope of our planet. There is a long standing controversy on weather solar variability can generate climate change the role of solar activity in climate change – such as the Quatermary glaciations or the present global warming- remains unproven and most probably represents a second order effect. That solar change have contributed to small climate  oscillation occurring on time scale of few centuries , similar in type to the fluctuation s classically described for the last millennium ; the so called Medieval warm period (900-1400 A.D.) followed on by the Little Ice age (1500-1800A.D.) </w:t>
      </w:r>
    </w:p>
    <w:p w:rsidR="00A45A27" w:rsidRDefault="000051DA" w:rsidP="00537AF1">
      <w:pPr>
        <w:tabs>
          <w:tab w:val="left" w:pos="270"/>
          <w:tab w:val="left" w:pos="810"/>
        </w:tabs>
        <w:spacing w:before="120" w:after="120"/>
        <w:jc w:val="both"/>
        <w:rPr>
          <w:sz w:val="22"/>
          <w:szCs w:val="22"/>
        </w:rPr>
      </w:pPr>
      <w:r w:rsidRPr="00A061F8">
        <w:rPr>
          <w:sz w:val="22"/>
          <w:szCs w:val="22"/>
        </w:rPr>
        <w:t xml:space="preserve">Anthropogenic activity may affect higher atmosphere layer in the mesosphere, thermosphere and ionosphere. The global electric circuit is closed by current flowing in the ionosphere, at high latitudes; within the polar cap, these currents are strongly influenced by parameter of the solar wind, particularly the direction of interplanetary magnetic field.in the aurorral zone, the ionosphere is markedly disturbed when the magnetosphere is buffeted by cloud of solar wind of enhancing density which associated with huge coronal mass ejections events from the Sun. as a result, the potential difference across the polar cap ionosphere can vary markedly. The measurement techniques applied in </w:t>
      </w:r>
      <w:r w:rsidRPr="00A061F8">
        <w:rPr>
          <w:sz w:val="22"/>
          <w:szCs w:val="22"/>
        </w:rPr>
        <w:lastRenderedPageBreak/>
        <w:t>magnetosphere and ionosphere research enable the detection of strong, intr</w:t>
      </w:r>
      <w:r w:rsidR="00A45A27">
        <w:rPr>
          <w:sz w:val="22"/>
          <w:szCs w:val="22"/>
        </w:rPr>
        <w:t>insic effects of the solar wind/</w:t>
      </w:r>
      <w:r w:rsidRPr="00A061F8">
        <w:rPr>
          <w:sz w:val="22"/>
          <w:szCs w:val="22"/>
        </w:rPr>
        <w:t xml:space="preserve">ionosphere on the electrical potential disturbances and conductivity of the atmosphere (Michnowski, 1998). Price and Rind (1990) first proposed the possibility that changes in the Earth’s climate could result in more lighting activity and the global electric circuits have been shown to be closely related to important climate parameters. </w:t>
      </w:r>
    </w:p>
    <w:p w:rsidR="00063CB1" w:rsidRPr="00A45A27" w:rsidRDefault="00063CB1" w:rsidP="00537AF1">
      <w:pPr>
        <w:tabs>
          <w:tab w:val="left" w:pos="270"/>
          <w:tab w:val="left" w:pos="810"/>
        </w:tabs>
        <w:spacing w:before="120" w:after="120"/>
        <w:jc w:val="both"/>
        <w:rPr>
          <w:b/>
          <w:sz w:val="22"/>
          <w:szCs w:val="22"/>
        </w:rPr>
      </w:pPr>
      <w:r w:rsidRPr="00A45A27">
        <w:rPr>
          <w:b/>
          <w:sz w:val="22"/>
          <w:szCs w:val="22"/>
        </w:rPr>
        <w:t>Sunspot and Climate</w:t>
      </w:r>
    </w:p>
    <w:p w:rsidR="00537AF1" w:rsidRPr="00A061F8" w:rsidRDefault="00063CB1" w:rsidP="00537AF1">
      <w:pPr>
        <w:tabs>
          <w:tab w:val="left" w:pos="270"/>
          <w:tab w:val="left" w:pos="810"/>
        </w:tabs>
        <w:jc w:val="both"/>
        <w:rPr>
          <w:sz w:val="22"/>
          <w:szCs w:val="22"/>
        </w:rPr>
      </w:pPr>
      <w:r w:rsidRPr="00A061F8">
        <w:rPr>
          <w:sz w:val="22"/>
          <w:szCs w:val="22"/>
        </w:rPr>
        <w:t xml:space="preserve">Sunspots are cool dark regions on the solar surface with strong magnetic fields. </w:t>
      </w:r>
      <w:r w:rsidR="00310F50" w:rsidRPr="00A061F8">
        <w:rPr>
          <w:sz w:val="22"/>
          <w:szCs w:val="22"/>
        </w:rPr>
        <w:t>There</w:t>
      </w:r>
      <w:r w:rsidRPr="00A061F8">
        <w:rPr>
          <w:sz w:val="22"/>
          <w:szCs w:val="22"/>
        </w:rPr>
        <w:t xml:space="preserve"> have been few direct measurements of changes in the physical parameters of </w:t>
      </w:r>
      <w:r w:rsidR="00310F50" w:rsidRPr="00A061F8">
        <w:rPr>
          <w:sz w:val="22"/>
          <w:szCs w:val="22"/>
        </w:rPr>
        <w:t>sunspots, but</w:t>
      </w:r>
      <w:r w:rsidRPr="00A061F8">
        <w:rPr>
          <w:sz w:val="22"/>
          <w:szCs w:val="22"/>
        </w:rPr>
        <w:t xml:space="preserve"> there have been few direct measurements </w:t>
      </w:r>
      <w:r w:rsidR="00310F50" w:rsidRPr="00A061F8">
        <w:rPr>
          <w:sz w:val="22"/>
          <w:szCs w:val="22"/>
        </w:rPr>
        <w:t>of</w:t>
      </w:r>
      <w:r w:rsidRPr="00A061F8">
        <w:rPr>
          <w:sz w:val="22"/>
          <w:szCs w:val="22"/>
        </w:rPr>
        <w:t xml:space="preserve"> changes in the physical parameters of </w:t>
      </w:r>
      <w:r w:rsidR="00310F50" w:rsidRPr="00A061F8">
        <w:rPr>
          <w:sz w:val="22"/>
          <w:szCs w:val="22"/>
        </w:rPr>
        <w:t>sunspots, but</w:t>
      </w:r>
      <w:r w:rsidRPr="00A061F8">
        <w:rPr>
          <w:sz w:val="22"/>
          <w:szCs w:val="22"/>
        </w:rPr>
        <w:t xml:space="preserve">  sunspots becoming warmer and have weaker magnetic fields. The number of sunspots visible on the Sun normally shows an 11-year </w:t>
      </w:r>
      <w:r w:rsidR="00310F50" w:rsidRPr="00A061F8">
        <w:rPr>
          <w:sz w:val="22"/>
          <w:szCs w:val="22"/>
        </w:rPr>
        <w:t>periodicity, and</w:t>
      </w:r>
      <w:r w:rsidRPr="00A061F8">
        <w:rPr>
          <w:sz w:val="22"/>
          <w:szCs w:val="22"/>
        </w:rPr>
        <w:t xml:space="preserve"> the </w:t>
      </w:r>
      <w:r w:rsidR="00310F50" w:rsidRPr="00A061F8">
        <w:rPr>
          <w:sz w:val="22"/>
          <w:szCs w:val="22"/>
        </w:rPr>
        <w:t>s</w:t>
      </w:r>
      <w:r w:rsidRPr="00A061F8">
        <w:rPr>
          <w:sz w:val="22"/>
          <w:szCs w:val="22"/>
        </w:rPr>
        <w:t xml:space="preserve">unspot cycle had maximum and is entering a minimum phase with few sunspot currently visible. </w:t>
      </w:r>
      <w:r w:rsidR="00310F50" w:rsidRPr="00A061F8">
        <w:rPr>
          <w:sz w:val="22"/>
          <w:szCs w:val="22"/>
        </w:rPr>
        <w:t>The</w:t>
      </w:r>
      <w:r w:rsidRPr="00A061F8">
        <w:rPr>
          <w:sz w:val="22"/>
          <w:szCs w:val="22"/>
        </w:rPr>
        <w:t xml:space="preserve"> 11 year periodicity vanished and there were virtually no sunspots visible on the </w:t>
      </w:r>
      <w:r w:rsidR="00310F50" w:rsidRPr="00A061F8">
        <w:rPr>
          <w:sz w:val="22"/>
          <w:szCs w:val="22"/>
        </w:rPr>
        <w:t>solar surface</w:t>
      </w:r>
      <w:r w:rsidRPr="00A061F8">
        <w:rPr>
          <w:sz w:val="22"/>
          <w:szCs w:val="22"/>
        </w:rPr>
        <w:t xml:space="preserve">. Recent studies of the appearance rate and the latitudinal drift of </w:t>
      </w:r>
      <w:r w:rsidR="00310F50" w:rsidRPr="00A061F8">
        <w:rPr>
          <w:sz w:val="22"/>
          <w:szCs w:val="22"/>
        </w:rPr>
        <w:t>s</w:t>
      </w:r>
      <w:r w:rsidRPr="00A061F8">
        <w:rPr>
          <w:sz w:val="22"/>
          <w:szCs w:val="22"/>
        </w:rPr>
        <w:t>unspot</w:t>
      </w:r>
      <w:r w:rsidR="00310F50" w:rsidRPr="00A061F8">
        <w:rPr>
          <w:sz w:val="22"/>
          <w:szCs w:val="22"/>
        </w:rPr>
        <w:t xml:space="preserve"> (Hathway et al, 2004)</w:t>
      </w:r>
      <w:r w:rsidRPr="00A061F8">
        <w:rPr>
          <w:sz w:val="22"/>
          <w:szCs w:val="22"/>
        </w:rPr>
        <w:t xml:space="preserve"> and of the solar magnetic field(Svalgaard et </w:t>
      </w:r>
      <w:r w:rsidR="00310F50" w:rsidRPr="00A061F8">
        <w:rPr>
          <w:sz w:val="22"/>
          <w:szCs w:val="22"/>
        </w:rPr>
        <w:t>al, 2005</w:t>
      </w:r>
      <w:r w:rsidRPr="00A061F8">
        <w:rPr>
          <w:sz w:val="22"/>
          <w:szCs w:val="22"/>
        </w:rPr>
        <w:t xml:space="preserve">). </w:t>
      </w:r>
      <w:r w:rsidR="00310F50" w:rsidRPr="00A061F8">
        <w:rPr>
          <w:sz w:val="22"/>
          <w:szCs w:val="22"/>
        </w:rPr>
        <w:t>Sunspot</w:t>
      </w:r>
      <w:r w:rsidRPr="00A061F8">
        <w:rPr>
          <w:sz w:val="22"/>
          <w:szCs w:val="22"/>
        </w:rPr>
        <w:t xml:space="preserve"> during 1861-1989 shows a remarkable </w:t>
      </w:r>
      <w:r w:rsidR="00310F50" w:rsidRPr="00A061F8">
        <w:rPr>
          <w:sz w:val="22"/>
          <w:szCs w:val="22"/>
        </w:rPr>
        <w:t>parallelism, with</w:t>
      </w:r>
      <w:r w:rsidRPr="00A061F8">
        <w:rPr>
          <w:sz w:val="22"/>
          <w:szCs w:val="22"/>
        </w:rPr>
        <w:t xml:space="preserve"> the simultaneous variation in northern hemisphere means </w:t>
      </w:r>
      <w:r w:rsidR="00310F50" w:rsidRPr="00A061F8">
        <w:rPr>
          <w:sz w:val="22"/>
          <w:szCs w:val="22"/>
        </w:rPr>
        <w:t>temperature (</w:t>
      </w:r>
      <w:r w:rsidRPr="00A061F8">
        <w:rPr>
          <w:sz w:val="22"/>
          <w:szCs w:val="22"/>
        </w:rPr>
        <w:t>Friss-christensen et al</w:t>
      </w:r>
      <w:r w:rsidR="00310F50" w:rsidRPr="00A061F8">
        <w:rPr>
          <w:sz w:val="22"/>
          <w:szCs w:val="22"/>
        </w:rPr>
        <w:t>,</w:t>
      </w:r>
      <w:r w:rsidRPr="00A061F8">
        <w:rPr>
          <w:sz w:val="22"/>
          <w:szCs w:val="22"/>
        </w:rPr>
        <w:t xml:space="preserve"> 1991). </w:t>
      </w:r>
      <w:r w:rsidR="00310F50" w:rsidRPr="00A061F8">
        <w:rPr>
          <w:sz w:val="22"/>
          <w:szCs w:val="22"/>
        </w:rPr>
        <w:t>There</w:t>
      </w:r>
      <w:r w:rsidRPr="00A061F8">
        <w:rPr>
          <w:sz w:val="22"/>
          <w:szCs w:val="22"/>
        </w:rPr>
        <w:t xml:space="preserve"> is an even better correlation with length of the solar </w:t>
      </w:r>
      <w:r w:rsidR="00310F50" w:rsidRPr="00A061F8">
        <w:rPr>
          <w:sz w:val="22"/>
          <w:szCs w:val="22"/>
        </w:rPr>
        <w:t>cycle, between</w:t>
      </w:r>
      <w:r w:rsidRPr="00A061F8">
        <w:rPr>
          <w:sz w:val="22"/>
          <w:szCs w:val="22"/>
        </w:rPr>
        <w:t xml:space="preserve"> years of the higher numbers of sunspots. </w:t>
      </w:r>
      <w:r w:rsidR="00310F50" w:rsidRPr="00A061F8">
        <w:rPr>
          <w:sz w:val="22"/>
          <w:szCs w:val="22"/>
        </w:rPr>
        <w:t>Sunspot affects</w:t>
      </w:r>
      <w:r w:rsidRPr="00A061F8">
        <w:rPr>
          <w:sz w:val="22"/>
          <w:szCs w:val="22"/>
        </w:rPr>
        <w:t xml:space="preserve"> the Earth’s climate by total solar irradiance received by </w:t>
      </w:r>
      <w:r w:rsidR="00310F50" w:rsidRPr="00A061F8">
        <w:rPr>
          <w:sz w:val="22"/>
          <w:szCs w:val="22"/>
        </w:rPr>
        <w:t>Earth. Intuitively</w:t>
      </w:r>
      <w:r w:rsidRPr="00A061F8">
        <w:rPr>
          <w:sz w:val="22"/>
          <w:szCs w:val="22"/>
        </w:rPr>
        <w:t xml:space="preserve"> one may assume the total solar irradiance would decrease as the number of (optically dark) sunspots </w:t>
      </w:r>
      <w:r w:rsidR="00310F50" w:rsidRPr="00A061F8">
        <w:rPr>
          <w:sz w:val="22"/>
          <w:szCs w:val="22"/>
        </w:rPr>
        <w:t>increased. However,</w:t>
      </w:r>
      <w:r w:rsidRPr="00A061F8">
        <w:rPr>
          <w:sz w:val="22"/>
          <w:szCs w:val="22"/>
        </w:rPr>
        <w:t xml:space="preserve"> direct satellite measurements of irradiance have shown the opposite to be the case. </w:t>
      </w:r>
      <w:r w:rsidR="00310F50" w:rsidRPr="00A061F8">
        <w:rPr>
          <w:sz w:val="22"/>
          <w:szCs w:val="22"/>
        </w:rPr>
        <w:t>This</w:t>
      </w:r>
      <w:r w:rsidRPr="00A061F8">
        <w:rPr>
          <w:sz w:val="22"/>
          <w:szCs w:val="22"/>
        </w:rPr>
        <w:t xml:space="preserve"> means that more sunspots deliver more energy to the </w:t>
      </w:r>
      <w:r w:rsidR="00310F50" w:rsidRPr="00A061F8">
        <w:rPr>
          <w:sz w:val="22"/>
          <w:szCs w:val="22"/>
        </w:rPr>
        <w:t>atmosphere, so</w:t>
      </w:r>
      <w:r w:rsidRPr="00A061F8">
        <w:rPr>
          <w:sz w:val="22"/>
          <w:szCs w:val="22"/>
        </w:rPr>
        <w:t xml:space="preserve"> that global temperature should rise. </w:t>
      </w:r>
      <w:r w:rsidR="00310F50" w:rsidRPr="00A061F8">
        <w:rPr>
          <w:sz w:val="22"/>
          <w:szCs w:val="22"/>
        </w:rPr>
        <w:t>According</w:t>
      </w:r>
      <w:r w:rsidRPr="00A061F8">
        <w:rPr>
          <w:sz w:val="22"/>
          <w:szCs w:val="22"/>
        </w:rPr>
        <w:t xml:space="preserve"> to current theory, </w:t>
      </w:r>
      <w:r w:rsidR="00310F50" w:rsidRPr="00A061F8">
        <w:rPr>
          <w:sz w:val="22"/>
          <w:szCs w:val="22"/>
        </w:rPr>
        <w:t>sunspots occur</w:t>
      </w:r>
      <w:r w:rsidRPr="00A061F8">
        <w:rPr>
          <w:sz w:val="22"/>
          <w:szCs w:val="22"/>
        </w:rPr>
        <w:t xml:space="preserve"> in pairs as </w:t>
      </w:r>
      <w:r w:rsidR="00310F50" w:rsidRPr="00A061F8">
        <w:rPr>
          <w:sz w:val="22"/>
          <w:szCs w:val="22"/>
        </w:rPr>
        <w:t>magnetic disturbances</w:t>
      </w:r>
      <w:r w:rsidRPr="00A061F8">
        <w:rPr>
          <w:sz w:val="22"/>
          <w:szCs w:val="22"/>
        </w:rPr>
        <w:t xml:space="preserve"> in the convective plasma near the Sun’s Surface. </w:t>
      </w:r>
      <w:r w:rsidR="00310F50" w:rsidRPr="00A061F8">
        <w:rPr>
          <w:sz w:val="22"/>
          <w:szCs w:val="22"/>
        </w:rPr>
        <w:t>Magnetic</w:t>
      </w:r>
      <w:r w:rsidRPr="00A061F8">
        <w:rPr>
          <w:sz w:val="22"/>
          <w:szCs w:val="22"/>
        </w:rPr>
        <w:t xml:space="preserve"> field lines </w:t>
      </w:r>
      <w:r w:rsidR="00310F50" w:rsidRPr="00A061F8">
        <w:rPr>
          <w:sz w:val="22"/>
          <w:szCs w:val="22"/>
        </w:rPr>
        <w:t>emerge from one sunspot and re-enters</w:t>
      </w:r>
      <w:r w:rsidRPr="00A061F8">
        <w:rPr>
          <w:sz w:val="22"/>
          <w:szCs w:val="22"/>
        </w:rPr>
        <w:t xml:space="preserve"> at the other spot. </w:t>
      </w:r>
      <w:r w:rsidR="00310F50" w:rsidRPr="00A061F8">
        <w:rPr>
          <w:sz w:val="22"/>
          <w:szCs w:val="22"/>
        </w:rPr>
        <w:t>Also</w:t>
      </w:r>
      <w:r w:rsidRPr="00A061F8">
        <w:rPr>
          <w:sz w:val="22"/>
          <w:szCs w:val="22"/>
        </w:rPr>
        <w:t xml:space="preserve">, there are more sunspots during periods of increased magnetic activity at that time more highly charged particles are emitted from the solar surface, and the Sun emits more UV and visible radiation. Polar auroras are magnificent in years with </w:t>
      </w:r>
      <w:r w:rsidR="00310F50" w:rsidRPr="00A061F8">
        <w:rPr>
          <w:sz w:val="22"/>
          <w:szCs w:val="22"/>
        </w:rPr>
        <w:t>numerous</w:t>
      </w:r>
      <w:r w:rsidRPr="00A061F8">
        <w:rPr>
          <w:sz w:val="22"/>
          <w:szCs w:val="22"/>
        </w:rPr>
        <w:t xml:space="preserve"> sunspots, and the aurora activity varies in </w:t>
      </w:r>
      <w:r w:rsidR="00310F50" w:rsidRPr="00A061F8">
        <w:rPr>
          <w:sz w:val="22"/>
          <w:szCs w:val="22"/>
        </w:rPr>
        <w:t>p</w:t>
      </w:r>
      <w:r w:rsidRPr="00A061F8">
        <w:rPr>
          <w:sz w:val="22"/>
          <w:szCs w:val="22"/>
        </w:rPr>
        <w:t xml:space="preserve">hase with number of sunspots. Auroras are faint and rare when the Sun </w:t>
      </w:r>
      <w:r w:rsidR="00310F50" w:rsidRPr="00A061F8">
        <w:rPr>
          <w:sz w:val="22"/>
          <w:szCs w:val="22"/>
        </w:rPr>
        <w:t>magnetically</w:t>
      </w:r>
      <w:r w:rsidRPr="00A061F8">
        <w:rPr>
          <w:sz w:val="22"/>
          <w:szCs w:val="22"/>
        </w:rPr>
        <w:t xml:space="preserve"> quiescent, as during Maunder minimum. the periodicity of sunspot </w:t>
      </w:r>
      <w:r w:rsidR="00310F50" w:rsidRPr="00A061F8">
        <w:rPr>
          <w:sz w:val="22"/>
          <w:szCs w:val="22"/>
        </w:rPr>
        <w:t>number, and</w:t>
      </w:r>
      <w:r w:rsidRPr="00A061F8">
        <w:rPr>
          <w:sz w:val="22"/>
          <w:szCs w:val="22"/>
        </w:rPr>
        <w:t xml:space="preserve"> hence that of the circulation in the solar plasma, relates to the rotation of the Sun about the center of gravity of visible </w:t>
      </w:r>
      <w:r w:rsidR="00310F50" w:rsidRPr="00A061F8">
        <w:rPr>
          <w:sz w:val="22"/>
          <w:szCs w:val="22"/>
        </w:rPr>
        <w:t>s</w:t>
      </w:r>
      <w:r w:rsidRPr="00A061F8">
        <w:rPr>
          <w:sz w:val="22"/>
          <w:szCs w:val="22"/>
        </w:rPr>
        <w:t xml:space="preserve">olar </w:t>
      </w:r>
      <w:r w:rsidR="00310F50" w:rsidRPr="00A061F8">
        <w:rPr>
          <w:sz w:val="22"/>
          <w:szCs w:val="22"/>
        </w:rPr>
        <w:t>system, taking</w:t>
      </w:r>
      <w:r w:rsidRPr="00A061F8">
        <w:rPr>
          <w:sz w:val="22"/>
          <w:szCs w:val="22"/>
        </w:rPr>
        <w:t xml:space="preserve"> 11.1 years on average. </w:t>
      </w:r>
      <w:r w:rsidR="00310F50" w:rsidRPr="00A061F8">
        <w:rPr>
          <w:sz w:val="22"/>
          <w:szCs w:val="22"/>
        </w:rPr>
        <w:t>Sometimes</w:t>
      </w:r>
      <w:r w:rsidRPr="00A061F8">
        <w:rPr>
          <w:sz w:val="22"/>
          <w:szCs w:val="22"/>
        </w:rPr>
        <w:t xml:space="preserve"> the Sun is up to a million kilometers from the center, and sometimes it more or less coincides, </w:t>
      </w:r>
      <w:r w:rsidR="00310F50" w:rsidRPr="00A061F8">
        <w:rPr>
          <w:sz w:val="22"/>
          <w:szCs w:val="22"/>
        </w:rPr>
        <w:t>leading to</w:t>
      </w:r>
      <w:r w:rsidRPr="00A061F8">
        <w:rPr>
          <w:sz w:val="22"/>
          <w:szCs w:val="22"/>
        </w:rPr>
        <w:t xml:space="preserve"> different conditions of </w:t>
      </w:r>
      <w:r w:rsidR="00310F50" w:rsidRPr="00A061F8">
        <w:rPr>
          <w:sz w:val="22"/>
          <w:szCs w:val="22"/>
        </w:rPr>
        <w:t>turbulences</w:t>
      </w:r>
      <w:r w:rsidRPr="00A061F8">
        <w:rPr>
          <w:sz w:val="22"/>
          <w:szCs w:val="22"/>
        </w:rPr>
        <w:t xml:space="preserve"> within the photosphere. </w:t>
      </w:r>
      <w:r w:rsidR="00310F50" w:rsidRPr="00A061F8">
        <w:rPr>
          <w:sz w:val="22"/>
          <w:szCs w:val="22"/>
        </w:rPr>
        <w:t>The</w:t>
      </w:r>
      <w:r w:rsidRPr="00A061F8">
        <w:rPr>
          <w:sz w:val="22"/>
          <w:szCs w:val="22"/>
        </w:rPr>
        <w:t xml:space="preserve"> transition from one condition to the other affects the number of Sunspots. </w:t>
      </w:r>
      <w:r w:rsidR="00310F50" w:rsidRPr="00A061F8">
        <w:rPr>
          <w:sz w:val="22"/>
          <w:szCs w:val="22"/>
        </w:rPr>
        <w:t>The</w:t>
      </w:r>
      <w:r w:rsidRPr="00A061F8">
        <w:rPr>
          <w:sz w:val="22"/>
          <w:szCs w:val="22"/>
        </w:rPr>
        <w:t xml:space="preserve"> increased brightness of the Sun </w:t>
      </w:r>
      <w:r w:rsidR="00310F50" w:rsidRPr="00A061F8">
        <w:rPr>
          <w:sz w:val="22"/>
          <w:szCs w:val="22"/>
        </w:rPr>
        <w:t>tends</w:t>
      </w:r>
      <w:r w:rsidRPr="00A061F8">
        <w:rPr>
          <w:sz w:val="22"/>
          <w:szCs w:val="22"/>
        </w:rPr>
        <w:t xml:space="preserve"> to warm the Earth, but also the Solar wind</w:t>
      </w:r>
      <w:r w:rsidR="00310F50" w:rsidRPr="00A061F8">
        <w:rPr>
          <w:sz w:val="22"/>
          <w:szCs w:val="22"/>
        </w:rPr>
        <w:t xml:space="preserve"> s</w:t>
      </w:r>
      <w:r w:rsidRPr="00A061F8">
        <w:rPr>
          <w:sz w:val="22"/>
          <w:szCs w:val="22"/>
        </w:rPr>
        <w:t xml:space="preserve">hields the atmosphere from cosmic </w:t>
      </w:r>
      <w:r w:rsidR="00310F50" w:rsidRPr="00A061F8">
        <w:rPr>
          <w:sz w:val="22"/>
          <w:szCs w:val="22"/>
        </w:rPr>
        <w:t>rays, which</w:t>
      </w:r>
      <w:r w:rsidRPr="00A061F8">
        <w:rPr>
          <w:sz w:val="22"/>
          <w:szCs w:val="22"/>
        </w:rPr>
        <w:t xml:space="preserve"> produced</w:t>
      </w:r>
      <w:r w:rsidR="00310F50" w:rsidRPr="00A061F8">
        <w:rPr>
          <w:sz w:val="22"/>
          <w:szCs w:val="22"/>
        </w:rPr>
        <w:t xml:space="preserve"> 14</w:t>
      </w:r>
      <w:r w:rsidRPr="00A061F8">
        <w:rPr>
          <w:sz w:val="22"/>
          <w:szCs w:val="22"/>
        </w:rPr>
        <w:t xml:space="preserve">C. </w:t>
      </w:r>
      <w:r w:rsidR="00310F50" w:rsidRPr="00A061F8">
        <w:rPr>
          <w:sz w:val="22"/>
          <w:szCs w:val="22"/>
        </w:rPr>
        <w:t>S</w:t>
      </w:r>
      <w:r w:rsidRPr="00A061F8">
        <w:rPr>
          <w:sz w:val="22"/>
          <w:szCs w:val="22"/>
        </w:rPr>
        <w:t xml:space="preserve">o there is more14C when the Sun is magnetically quiescent. Recent satellite measurement of </w:t>
      </w:r>
      <w:r w:rsidR="00310F50" w:rsidRPr="00A061F8">
        <w:rPr>
          <w:sz w:val="22"/>
          <w:szCs w:val="22"/>
        </w:rPr>
        <w:t>s</w:t>
      </w:r>
      <w:r w:rsidRPr="00A061F8">
        <w:rPr>
          <w:sz w:val="22"/>
          <w:szCs w:val="22"/>
        </w:rPr>
        <w:t xml:space="preserve">olar </w:t>
      </w:r>
      <w:r w:rsidR="00310F50" w:rsidRPr="00A061F8">
        <w:rPr>
          <w:sz w:val="22"/>
          <w:szCs w:val="22"/>
        </w:rPr>
        <w:t>b</w:t>
      </w:r>
      <w:r w:rsidRPr="00A061F8">
        <w:rPr>
          <w:sz w:val="22"/>
          <w:szCs w:val="22"/>
        </w:rPr>
        <w:t xml:space="preserve">rightness, </w:t>
      </w:r>
      <w:r w:rsidR="00310F50" w:rsidRPr="00A061F8">
        <w:rPr>
          <w:sz w:val="22"/>
          <w:szCs w:val="22"/>
        </w:rPr>
        <w:t>analyzed</w:t>
      </w:r>
      <w:r w:rsidRPr="00A061F8">
        <w:rPr>
          <w:sz w:val="22"/>
          <w:szCs w:val="22"/>
        </w:rPr>
        <w:t xml:space="preserve"> by (</w:t>
      </w:r>
      <w:r w:rsidR="00310F50" w:rsidRPr="00A061F8">
        <w:rPr>
          <w:sz w:val="22"/>
          <w:szCs w:val="22"/>
        </w:rPr>
        <w:t>Wilson</w:t>
      </w:r>
      <w:r w:rsidR="008105B6" w:rsidRPr="00A061F8">
        <w:rPr>
          <w:sz w:val="22"/>
          <w:szCs w:val="22"/>
        </w:rPr>
        <w:t xml:space="preserve"> ,1997)</w:t>
      </w:r>
      <w:r w:rsidRPr="00A061F8">
        <w:rPr>
          <w:sz w:val="22"/>
          <w:szCs w:val="22"/>
        </w:rPr>
        <w:t xml:space="preserve"> show increase from the previous cycle of sunspot activity to current one, indicating that the Earth is receiving more energy from the Sun. Wilson indicates that if current rate of increase of </w:t>
      </w:r>
      <w:r w:rsidR="008105B6" w:rsidRPr="00A061F8">
        <w:rPr>
          <w:sz w:val="22"/>
          <w:szCs w:val="22"/>
        </w:rPr>
        <w:t>s</w:t>
      </w:r>
      <w:r w:rsidRPr="00A061F8">
        <w:rPr>
          <w:sz w:val="22"/>
          <w:szCs w:val="22"/>
        </w:rPr>
        <w:t xml:space="preserve">olar irradiance </w:t>
      </w:r>
      <w:r w:rsidR="00380428" w:rsidRPr="00A061F8">
        <w:rPr>
          <w:sz w:val="22"/>
          <w:szCs w:val="22"/>
        </w:rPr>
        <w:t>c</w:t>
      </w:r>
      <w:r w:rsidRPr="00A061F8">
        <w:rPr>
          <w:sz w:val="22"/>
          <w:szCs w:val="22"/>
        </w:rPr>
        <w:t>ontinues until the mid 21</w:t>
      </w:r>
      <w:r w:rsidRPr="00A061F8">
        <w:rPr>
          <w:sz w:val="22"/>
          <w:szCs w:val="22"/>
          <w:vertAlign w:val="superscript"/>
        </w:rPr>
        <w:t>th</w:t>
      </w:r>
      <w:r w:rsidR="008105B6" w:rsidRPr="00A061F8">
        <w:rPr>
          <w:sz w:val="22"/>
          <w:szCs w:val="22"/>
        </w:rPr>
        <w:t>c</w:t>
      </w:r>
      <w:r w:rsidRPr="00A061F8">
        <w:rPr>
          <w:sz w:val="22"/>
          <w:szCs w:val="22"/>
        </w:rPr>
        <w:t>entury, then the surface temperat</w:t>
      </w:r>
      <w:r w:rsidR="007B0ABF">
        <w:rPr>
          <w:sz w:val="22"/>
          <w:szCs w:val="22"/>
        </w:rPr>
        <w:t>ures will increase by about 0.5 º</w:t>
      </w:r>
      <w:r w:rsidRPr="00A061F8">
        <w:rPr>
          <w:sz w:val="22"/>
          <w:szCs w:val="22"/>
        </w:rPr>
        <w:t>C.</w:t>
      </w:r>
    </w:p>
    <w:p w:rsidR="00DC6D74" w:rsidRPr="00A061F8" w:rsidRDefault="007169E2" w:rsidP="00A061F8">
      <w:pPr>
        <w:tabs>
          <w:tab w:val="left" w:pos="270"/>
          <w:tab w:val="left" w:pos="810"/>
        </w:tabs>
        <w:spacing w:before="120" w:after="120"/>
        <w:jc w:val="both"/>
        <w:rPr>
          <w:rStyle w:val="mw-headline"/>
          <w:b/>
          <w:sz w:val="22"/>
          <w:szCs w:val="22"/>
        </w:rPr>
      </w:pPr>
      <w:r>
        <w:rPr>
          <w:rStyle w:val="mw-headline"/>
          <w:b/>
          <w:sz w:val="22"/>
          <w:szCs w:val="22"/>
        </w:rPr>
        <w:t xml:space="preserve">Total </w:t>
      </w:r>
      <w:r w:rsidR="0085623E" w:rsidRPr="00A061F8">
        <w:rPr>
          <w:rStyle w:val="mw-headline"/>
          <w:b/>
          <w:sz w:val="22"/>
          <w:szCs w:val="22"/>
        </w:rPr>
        <w:t xml:space="preserve">Solar </w:t>
      </w:r>
      <w:r>
        <w:rPr>
          <w:rStyle w:val="mw-headline"/>
          <w:b/>
          <w:sz w:val="22"/>
          <w:szCs w:val="22"/>
        </w:rPr>
        <w:t>I</w:t>
      </w:r>
      <w:r w:rsidR="0085623E" w:rsidRPr="00A061F8">
        <w:rPr>
          <w:rStyle w:val="mw-headline"/>
          <w:b/>
          <w:sz w:val="22"/>
          <w:szCs w:val="22"/>
        </w:rPr>
        <w:t>rradiance</w:t>
      </w:r>
    </w:p>
    <w:p w:rsidR="00FE3888" w:rsidRDefault="007169E2" w:rsidP="00FE3888">
      <w:pPr>
        <w:tabs>
          <w:tab w:val="left" w:pos="270"/>
          <w:tab w:val="left" w:pos="810"/>
        </w:tabs>
        <w:jc w:val="both"/>
        <w:rPr>
          <w:sz w:val="22"/>
          <w:szCs w:val="22"/>
        </w:rPr>
      </w:pPr>
      <w:r w:rsidRPr="007169E2">
        <w:rPr>
          <w:sz w:val="22"/>
          <w:szCs w:val="22"/>
        </w:rPr>
        <w:t xml:space="preserve">The total solar irradiance (TSI) is the amount of solar radiative energy incident on the Earth’s upper atmosphere. </w:t>
      </w:r>
      <w:r w:rsidR="00FE3888" w:rsidRPr="00FE3888">
        <w:rPr>
          <w:sz w:val="22"/>
          <w:szCs w:val="22"/>
        </w:rPr>
        <w:t>The total solar irradiance (TSI) is integrated solar energy flux over the entire spectrum which arrives at the top of the atmosphere at the mean Sun-Earth distance. The TSI observations show variations ranging from a few days up to the 11-year SC and longer timescales (Lockwood and Fröhlich, 2008). TSI has been monitored from 1978 by several satellites, e.g. Nimbus 7, Solar Maximum Mission (SMM), the NASA, Earth Radiation Budget Satellite (ERBS), NOAA9, NOAA 10, Eureca and the UARS (Upper Atmospheric Research Satellite) etc. The Solar Radiation and Climate Experiment (SORCE), a NASA-sponsored satellite mission was launched to measurements of TSI. SORCE carries four instruments including the Spectral Irradiance Monitor (SIM), Solar Stellar Irradiance Comparison Experiment (SOLSTICE), Total Irradiance Monitor (TIM), and the XUV Photometer System (XPS). The TIM is TSI measurements monitor the incident sunlight to the Earth’s atmosphere using an ambient temperature active cavity radiometer. The historical reconstruction of TSI absolute value is described by Kopp and Lean (2011) based on new calibration and diagnostic measurements by using TIM V.12 data on 19</w:t>
      </w:r>
      <w:r w:rsidR="00FE3888" w:rsidRPr="007169E2">
        <w:rPr>
          <w:sz w:val="22"/>
          <w:szCs w:val="22"/>
          <w:vertAlign w:val="superscript"/>
        </w:rPr>
        <w:t xml:space="preserve">th </w:t>
      </w:r>
      <w:r w:rsidR="00FE3888" w:rsidRPr="00FE3888">
        <w:rPr>
          <w:sz w:val="22"/>
          <w:szCs w:val="22"/>
        </w:rPr>
        <w:t xml:space="preserve">January 2012, and is updated annually. TSI are known </w:t>
      </w:r>
      <w:r w:rsidR="00FE3888" w:rsidRPr="00FE3888">
        <w:rPr>
          <w:sz w:val="22"/>
          <w:szCs w:val="22"/>
        </w:rPr>
        <w:lastRenderedPageBreak/>
        <w:t>to be linked to Earth climate and temperature. The historical reconstruction of TSI and their association with 11-year sunspot cycle from 170</w:t>
      </w:r>
      <w:r>
        <w:rPr>
          <w:sz w:val="22"/>
          <w:szCs w:val="22"/>
        </w:rPr>
        <w:t xml:space="preserve">0 onwards are shown in Figure </w:t>
      </w:r>
      <w:r w:rsidR="00FE3888" w:rsidRPr="00FE3888">
        <w:rPr>
          <w:sz w:val="22"/>
          <w:szCs w:val="22"/>
        </w:rPr>
        <w:t>1. From the plot, it is find that TSI variation trend follows with SSN within a limit but centurial variation trends of TSI have not shown clear association. Linear variation of TSI for last 311 years shows continuously increasing trend. It is find that decadal TSI variation trend follows with SSN within a limit, except Maunder Minimum period. The centurial variation trends of TSI have not shown clear association. Surface temperatures and solar activity both increased during the past 400 years, with close associations apparent in pre- and post-industrial epochs (Lean et al., 1995; Reid, 1997). However, the inference from correlation studies that Sun-climate relationships can account for a substantial fraction of global warming in the past 150 years is controversial.</w:t>
      </w:r>
    </w:p>
    <w:p w:rsidR="007169E2" w:rsidRPr="0098651E" w:rsidRDefault="007169E2" w:rsidP="00FE3888">
      <w:pPr>
        <w:tabs>
          <w:tab w:val="left" w:pos="270"/>
          <w:tab w:val="left" w:pos="810"/>
        </w:tabs>
        <w:jc w:val="both"/>
        <w:rPr>
          <w:sz w:val="10"/>
          <w:szCs w:val="10"/>
        </w:rPr>
      </w:pPr>
    </w:p>
    <w:p w:rsidR="007169E2" w:rsidRPr="007169E2" w:rsidRDefault="007169E2" w:rsidP="007169E2">
      <w:pPr>
        <w:spacing w:line="360" w:lineRule="auto"/>
        <w:ind w:left="1440" w:hanging="1440"/>
        <w:jc w:val="both"/>
      </w:pPr>
      <w:r>
        <w:rPr>
          <w:noProof/>
        </w:rPr>
        <w:drawing>
          <wp:inline distT="0" distB="0" distL="0" distR="0">
            <wp:extent cx="5675586" cy="2339603"/>
            <wp:effectExtent l="0" t="0" r="20955" b="2286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169E2" w:rsidRPr="0098651E" w:rsidRDefault="007169E2" w:rsidP="007169E2">
      <w:pPr>
        <w:autoSpaceDE w:val="0"/>
        <w:autoSpaceDN w:val="0"/>
        <w:adjustRightInd w:val="0"/>
        <w:ind w:left="1440" w:hanging="1440"/>
        <w:jc w:val="both"/>
        <w:rPr>
          <w:rFonts w:eastAsia="+mn-ea"/>
          <w:kern w:val="24"/>
          <w:sz w:val="20"/>
          <w:szCs w:val="20"/>
        </w:rPr>
      </w:pPr>
      <w:r w:rsidRPr="0098651E">
        <w:rPr>
          <w:rFonts w:eastAsia="+mn-ea"/>
          <w:b/>
          <w:kern w:val="24"/>
          <w:sz w:val="20"/>
          <w:szCs w:val="20"/>
        </w:rPr>
        <w:t>Figures 1</w:t>
      </w:r>
      <w:r w:rsidRPr="0098651E">
        <w:rPr>
          <w:rFonts w:eastAsia="+mn-ea"/>
          <w:b/>
          <w:kern w:val="24"/>
          <w:sz w:val="20"/>
          <w:szCs w:val="20"/>
        </w:rPr>
        <w:tab/>
      </w:r>
      <w:r w:rsidRPr="0098651E">
        <w:rPr>
          <w:rFonts w:eastAsia="+mn-ea"/>
          <w:kern w:val="24"/>
          <w:sz w:val="20"/>
          <w:szCs w:val="20"/>
        </w:rPr>
        <w:t>Shows the long-term variation of TSI and yearly mean</w:t>
      </w:r>
      <w:r w:rsidRPr="0098651E">
        <w:rPr>
          <w:rFonts w:eastAsia="Calibri"/>
          <w:color w:val="000000"/>
          <w:sz w:val="20"/>
          <w:szCs w:val="20"/>
        </w:rPr>
        <w:t xml:space="preserve"> SSN, during 1700 onwards. </w:t>
      </w:r>
    </w:p>
    <w:p w:rsidR="007169E2" w:rsidRPr="0098651E" w:rsidRDefault="007169E2" w:rsidP="00FE3888">
      <w:pPr>
        <w:tabs>
          <w:tab w:val="left" w:pos="270"/>
          <w:tab w:val="left" w:pos="810"/>
        </w:tabs>
        <w:jc w:val="both"/>
        <w:rPr>
          <w:sz w:val="10"/>
          <w:szCs w:val="10"/>
        </w:rPr>
      </w:pPr>
    </w:p>
    <w:p w:rsidR="0098651E" w:rsidRDefault="00FE3888" w:rsidP="00FE3888">
      <w:pPr>
        <w:tabs>
          <w:tab w:val="left" w:pos="270"/>
          <w:tab w:val="left" w:pos="810"/>
        </w:tabs>
        <w:jc w:val="both"/>
        <w:rPr>
          <w:sz w:val="22"/>
          <w:szCs w:val="22"/>
        </w:rPr>
      </w:pPr>
      <w:r w:rsidRPr="00FE3888">
        <w:rPr>
          <w:sz w:val="22"/>
          <w:szCs w:val="22"/>
        </w:rPr>
        <w:t>TSI are known to be linked to Earth climate and temperature. Accurate TSI measurements from the last 25 years are correlated with sunspots and faculae. These correlations can then be used to extrapolate the TSI to time periods prior to accurate space-borne measurements, since the solar records extend back 100 years for faculae and 400 years for sunspots. Proxies of the TSI based on sunspot observations, tree ring records, ice cores, and cosmogenic isotopes have given estimates of the solar influence on the Earth that extend back thousands of years, and correlate with major climatic events on the Earth. This extrapolation is important for understanding the relationship between TSI and the Earth’s climate. The variation of TSI from 1976 onwards and their association with yearl</w:t>
      </w:r>
      <w:r w:rsidR="007169E2">
        <w:rPr>
          <w:sz w:val="22"/>
          <w:szCs w:val="22"/>
        </w:rPr>
        <w:t xml:space="preserve">y mean SSN is shown in Figure </w:t>
      </w:r>
      <w:r w:rsidRPr="00FE3888">
        <w:rPr>
          <w:sz w:val="22"/>
          <w:szCs w:val="22"/>
        </w:rPr>
        <w:t>2. We find that variation trend of TSI follows with 11-year SC</w:t>
      </w:r>
      <w:r w:rsidR="0098651E">
        <w:rPr>
          <w:sz w:val="22"/>
          <w:szCs w:val="22"/>
        </w:rPr>
        <w:t>’s.</w:t>
      </w:r>
    </w:p>
    <w:p w:rsidR="0098651E" w:rsidRPr="0098651E" w:rsidRDefault="0098651E" w:rsidP="00FE3888">
      <w:pPr>
        <w:tabs>
          <w:tab w:val="left" w:pos="270"/>
          <w:tab w:val="left" w:pos="810"/>
        </w:tabs>
        <w:jc w:val="both"/>
        <w:rPr>
          <w:sz w:val="10"/>
          <w:szCs w:val="10"/>
        </w:rPr>
      </w:pPr>
    </w:p>
    <w:p w:rsidR="007169E2" w:rsidRPr="007169E2" w:rsidRDefault="00804628" w:rsidP="0098651E">
      <w:pPr>
        <w:shd w:val="clear" w:color="auto" w:fill="FFFFFF"/>
        <w:ind w:left="1440" w:hanging="1440"/>
        <w:rPr>
          <w:rFonts w:ascii="Calibri" w:eastAsia="Calibri" w:hAnsi="Calibri"/>
          <w:sz w:val="22"/>
          <w:szCs w:val="22"/>
        </w:rPr>
      </w:pPr>
      <w:r w:rsidRPr="00804628">
        <w:rPr>
          <w:rFonts w:ascii="Calibri" w:eastAsia="Calibri" w:hAnsi="Calibri"/>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9pt;height:198.1pt">
            <v:imagedata r:id="rId6" o:title=""/>
            <o:lock v:ext="edit" aspectratio="f"/>
          </v:shape>
        </w:pict>
      </w:r>
    </w:p>
    <w:p w:rsidR="007169E2" w:rsidRPr="0098651E" w:rsidRDefault="007169E2" w:rsidP="007169E2">
      <w:pPr>
        <w:autoSpaceDE w:val="0"/>
        <w:autoSpaceDN w:val="0"/>
        <w:adjustRightInd w:val="0"/>
        <w:ind w:left="1440" w:hanging="1440"/>
        <w:jc w:val="both"/>
        <w:rPr>
          <w:rFonts w:eastAsia="+mn-ea"/>
          <w:kern w:val="24"/>
          <w:sz w:val="20"/>
          <w:szCs w:val="20"/>
        </w:rPr>
      </w:pPr>
      <w:r w:rsidRPr="0098651E">
        <w:rPr>
          <w:rFonts w:eastAsia="+mn-ea"/>
          <w:b/>
          <w:kern w:val="24"/>
          <w:sz w:val="20"/>
          <w:szCs w:val="20"/>
        </w:rPr>
        <w:t>Figure 2</w:t>
      </w:r>
      <w:r w:rsidRPr="0098651E">
        <w:rPr>
          <w:rFonts w:eastAsia="+mn-ea"/>
          <w:b/>
          <w:kern w:val="24"/>
          <w:sz w:val="20"/>
          <w:szCs w:val="20"/>
        </w:rPr>
        <w:tab/>
      </w:r>
      <w:r w:rsidRPr="0098651E">
        <w:rPr>
          <w:rFonts w:eastAsia="+mn-ea"/>
          <w:kern w:val="24"/>
          <w:sz w:val="20"/>
          <w:szCs w:val="20"/>
        </w:rPr>
        <w:t xml:space="preserve">Showsthe variation of TSI measured by several satellites (composite) from 1976 </w:t>
      </w:r>
      <w:r w:rsidRPr="0098651E">
        <w:rPr>
          <w:rFonts w:eastAsia="Calibri"/>
          <w:color w:val="231F20"/>
          <w:sz w:val="20"/>
          <w:szCs w:val="20"/>
        </w:rPr>
        <w:t>onwards</w:t>
      </w:r>
      <w:r w:rsidRPr="0098651E">
        <w:rPr>
          <w:rFonts w:eastAsia="+mn-ea"/>
          <w:kern w:val="24"/>
          <w:sz w:val="20"/>
          <w:szCs w:val="20"/>
        </w:rPr>
        <w:t xml:space="preserve"> and their association with yearly mean sunspot number. </w:t>
      </w:r>
    </w:p>
    <w:p w:rsidR="007169E2" w:rsidRPr="007169E2" w:rsidRDefault="007169E2" w:rsidP="007169E2">
      <w:pPr>
        <w:tabs>
          <w:tab w:val="left" w:pos="270"/>
          <w:tab w:val="left" w:pos="810"/>
        </w:tabs>
        <w:spacing w:before="120" w:after="120"/>
        <w:jc w:val="both"/>
        <w:rPr>
          <w:b/>
          <w:sz w:val="22"/>
          <w:szCs w:val="22"/>
        </w:rPr>
      </w:pPr>
      <w:r w:rsidRPr="007169E2">
        <w:rPr>
          <w:b/>
          <w:sz w:val="22"/>
          <w:szCs w:val="22"/>
        </w:rPr>
        <w:lastRenderedPageBreak/>
        <w:t>Solar Radio Flux (SRF)</w:t>
      </w:r>
    </w:p>
    <w:p w:rsidR="007169E2" w:rsidRDefault="007169E2" w:rsidP="007169E2">
      <w:pPr>
        <w:tabs>
          <w:tab w:val="left" w:pos="270"/>
          <w:tab w:val="left" w:pos="810"/>
        </w:tabs>
        <w:spacing w:before="120" w:after="120"/>
        <w:jc w:val="both"/>
        <w:rPr>
          <w:sz w:val="22"/>
          <w:szCs w:val="22"/>
        </w:rPr>
      </w:pPr>
      <w:r w:rsidRPr="007169E2">
        <w:rPr>
          <w:sz w:val="22"/>
          <w:szCs w:val="22"/>
        </w:rPr>
        <w:tab/>
        <w:t>The SPEs events are the energetic outbursts as a result of acceleration and heating of solar plasma during SFs and CMEs. SPEs events associated with SFs are called impulsive where as those associated with CMEs are gradual. SPEs events occur when high-energy protons are ejected from the Sun’s surface during fast solar eruptions and causes geomagnetic and ionospheric disturbances on large scale. These effects are similar to auroral events, the difference being that electrons and not protons are involved. These events typically occur at the north pole, south pole, and South Atlantic magnetic anomaly, where the Earth’s magnetic field is lowest. The Sun emits radio energy with slowly varying intensity. Solar radio flux (SRF), which originates from atmospheric layers high in the Sun’s chromosphere and low in its corona, changes gradually from day to day in response to the number of sunspot groups on the solar disk. SRF from the entire solar disk at a frequency of 2800 MHz has been recorded routinely by radio telescope near Ottawa since February 1947. Associations of SRF with annual mean SSN for the period 1976 o</w:t>
      </w:r>
      <w:r>
        <w:rPr>
          <w:sz w:val="22"/>
          <w:szCs w:val="22"/>
        </w:rPr>
        <w:t>nwards are plotted in Figure 3</w:t>
      </w:r>
      <w:r w:rsidRPr="007169E2">
        <w:rPr>
          <w:sz w:val="22"/>
          <w:szCs w:val="22"/>
        </w:rPr>
        <w:t>. We find that the yearly occurred value of SRF varies with 11-year SC as similar as variation of other solar transients. A difference between the first and second maxima for SC on the one hand and SRF on the other is intriguing. If the radio emission is associated with SSNs, the relative values of the first and second maximum should be similar, at least qualitatively, for both. However, decimetric frequencies would be from bremsstrahlung and may not follow SSNs. Between the radio emissions themselves, there is no consistency.</w:t>
      </w:r>
    </w:p>
    <w:p w:rsidR="007169E2" w:rsidRDefault="00804628" w:rsidP="0098651E">
      <w:pPr>
        <w:shd w:val="clear" w:color="auto" w:fill="FFFFFF"/>
        <w:ind w:left="1440" w:hanging="1440"/>
      </w:pPr>
      <w:r>
        <w:rPr>
          <w:noProof/>
        </w:rPr>
        <w:pict>
          <v:shape id="_x0000_i1026" type="#_x0000_t75" style="width:452.25pt;height:172.7pt">
            <v:imagedata r:id="rId7" o:title=""/>
            <o:lock v:ext="edit" aspectratio="f"/>
          </v:shape>
        </w:pict>
      </w:r>
    </w:p>
    <w:p w:rsidR="007169E2" w:rsidRPr="007169E2" w:rsidRDefault="00454CC7" w:rsidP="007169E2">
      <w:pPr>
        <w:ind w:left="1440" w:hanging="1440"/>
        <w:jc w:val="both"/>
        <w:rPr>
          <w:color w:val="000000"/>
          <w:sz w:val="20"/>
          <w:szCs w:val="20"/>
        </w:rPr>
      </w:pPr>
      <w:r>
        <w:rPr>
          <w:b/>
          <w:bCs/>
          <w:sz w:val="20"/>
          <w:szCs w:val="20"/>
        </w:rPr>
        <w:t xml:space="preserve">Figure </w:t>
      </w:r>
      <w:r w:rsidR="007169E2" w:rsidRPr="007169E2">
        <w:rPr>
          <w:b/>
          <w:bCs/>
          <w:sz w:val="20"/>
          <w:szCs w:val="20"/>
        </w:rPr>
        <w:t>3</w:t>
      </w:r>
      <w:r w:rsidR="007169E2" w:rsidRPr="007169E2">
        <w:rPr>
          <w:b/>
          <w:bCs/>
          <w:sz w:val="20"/>
          <w:szCs w:val="20"/>
        </w:rPr>
        <w:tab/>
      </w:r>
      <w:r w:rsidR="007169E2" w:rsidRPr="007169E2">
        <w:rPr>
          <w:sz w:val="20"/>
          <w:szCs w:val="20"/>
        </w:rPr>
        <w:t xml:space="preserve">Shows the association of </w:t>
      </w:r>
      <w:r w:rsidR="007169E2" w:rsidRPr="007169E2">
        <w:rPr>
          <w:color w:val="000000"/>
          <w:sz w:val="20"/>
          <w:szCs w:val="20"/>
        </w:rPr>
        <w:t>SPEs</w:t>
      </w:r>
      <w:r w:rsidR="007169E2" w:rsidRPr="007169E2">
        <w:rPr>
          <w:sz w:val="20"/>
          <w:szCs w:val="20"/>
        </w:rPr>
        <w:t xml:space="preserve"> Events (E </w:t>
      </w:r>
      <w:r w:rsidR="007169E2" w:rsidRPr="007169E2">
        <w:rPr>
          <w:sz w:val="20"/>
          <w:szCs w:val="20"/>
        </w:rPr>
        <w:sym w:font="Symbol" w:char="F0B3"/>
      </w:r>
      <w:r w:rsidR="007169E2" w:rsidRPr="007169E2">
        <w:rPr>
          <w:sz w:val="20"/>
          <w:szCs w:val="20"/>
        </w:rPr>
        <w:t>10 MeV)</w:t>
      </w:r>
      <w:r w:rsidR="007169E2" w:rsidRPr="007169E2">
        <w:rPr>
          <w:color w:val="000000"/>
          <w:sz w:val="20"/>
          <w:szCs w:val="20"/>
        </w:rPr>
        <w:t xml:space="preserve"> and their association with 11-year sunspot cycle, observed during the period 1976 </w:t>
      </w:r>
      <w:r w:rsidR="007169E2" w:rsidRPr="007169E2">
        <w:rPr>
          <w:color w:val="231F20"/>
          <w:sz w:val="20"/>
          <w:szCs w:val="20"/>
        </w:rPr>
        <w:t>onwards</w:t>
      </w:r>
      <w:r w:rsidR="007169E2" w:rsidRPr="007169E2">
        <w:rPr>
          <w:color w:val="000000"/>
          <w:sz w:val="20"/>
          <w:szCs w:val="20"/>
        </w:rPr>
        <w:t xml:space="preserve">. </w:t>
      </w:r>
    </w:p>
    <w:p w:rsidR="00FE3888" w:rsidRPr="00FE3888" w:rsidRDefault="00FE3888" w:rsidP="00FE3888">
      <w:pPr>
        <w:tabs>
          <w:tab w:val="left" w:pos="270"/>
          <w:tab w:val="left" w:pos="810"/>
        </w:tabs>
        <w:spacing w:before="120" w:after="120"/>
        <w:jc w:val="both"/>
        <w:rPr>
          <w:b/>
          <w:sz w:val="22"/>
          <w:szCs w:val="22"/>
        </w:rPr>
      </w:pPr>
      <w:r w:rsidRPr="00FE3888">
        <w:rPr>
          <w:b/>
          <w:sz w:val="22"/>
          <w:szCs w:val="22"/>
        </w:rPr>
        <w:t>Climate Change and Global Warming</w:t>
      </w:r>
    </w:p>
    <w:p w:rsidR="00FE3888" w:rsidRDefault="00FE3888" w:rsidP="00FE3888">
      <w:pPr>
        <w:tabs>
          <w:tab w:val="left" w:pos="270"/>
          <w:tab w:val="left" w:pos="810"/>
        </w:tabs>
        <w:jc w:val="both"/>
        <w:rPr>
          <w:sz w:val="22"/>
          <w:szCs w:val="22"/>
        </w:rPr>
      </w:pPr>
      <w:r w:rsidRPr="00FE3888">
        <w:rPr>
          <w:sz w:val="22"/>
          <w:szCs w:val="22"/>
        </w:rPr>
        <w:t>The basic components that influence the Earth’s climatic system can occur externally (from extraterrestrial systems) and internally (from ocean, atmosphere and land systems).The external change may involve a variation in the Sun’s output.  Internal variations in the Earth’s climatic system may be caused by changes in the concentrations of atmospheric gases, mountain building, volcanic activity, and changes in surface or atmospheric albedo. The basic causes of increase in global temperature can occur from variation in TSI and human made activities (mainly emission of Co</w:t>
      </w:r>
      <w:r w:rsidRPr="00FE3888">
        <w:rPr>
          <w:sz w:val="22"/>
          <w:szCs w:val="22"/>
          <w:vertAlign w:val="subscript"/>
        </w:rPr>
        <w:t>2</w:t>
      </w:r>
      <w:r w:rsidRPr="00FE3888">
        <w:rPr>
          <w:sz w:val="22"/>
          <w:szCs w:val="22"/>
        </w:rPr>
        <w:t>). Atmospheric carbon dioxide (Co</w:t>
      </w:r>
      <w:r w:rsidRPr="00FE3888">
        <w:rPr>
          <w:sz w:val="22"/>
          <w:szCs w:val="22"/>
          <w:vertAlign w:val="subscript"/>
        </w:rPr>
        <w:t>2</w:t>
      </w:r>
      <w:r w:rsidRPr="00FE3888">
        <w:rPr>
          <w:sz w:val="22"/>
          <w:szCs w:val="22"/>
        </w:rPr>
        <w:t>) is an important kind of greenhouse gas which influences global temperature. Its concentration variation could indicate the distribution of human and natural activities in various regions. The amount of Co</w:t>
      </w:r>
      <w:r w:rsidRPr="00FE3888">
        <w:rPr>
          <w:sz w:val="22"/>
          <w:szCs w:val="22"/>
          <w:vertAlign w:val="subscript"/>
        </w:rPr>
        <w:t>2</w:t>
      </w:r>
      <w:r w:rsidRPr="00FE3888">
        <w:rPr>
          <w:sz w:val="22"/>
          <w:szCs w:val="22"/>
        </w:rPr>
        <w:t xml:space="preserve"> that can be held in oceans is a function of temperature. Co</w:t>
      </w:r>
      <w:r w:rsidRPr="00FE3888">
        <w:rPr>
          <w:sz w:val="22"/>
          <w:szCs w:val="22"/>
          <w:vertAlign w:val="subscript"/>
        </w:rPr>
        <w:t>2</w:t>
      </w:r>
      <w:r w:rsidRPr="00FE3888">
        <w:rPr>
          <w:sz w:val="22"/>
          <w:szCs w:val="22"/>
        </w:rPr>
        <w:t xml:space="preserve"> is released from the oceans when global temperatures become warmer and diffuses into the ocean when temperatures are cooler. Initial changes in global temperature were triggered by changes in received solar radiation by the Earth through the Milankovitch cycles. The increase in Co</w:t>
      </w:r>
      <w:r w:rsidRPr="00FE3888">
        <w:rPr>
          <w:sz w:val="22"/>
          <w:szCs w:val="22"/>
          <w:vertAlign w:val="subscript"/>
        </w:rPr>
        <w:t>2</w:t>
      </w:r>
      <w:r w:rsidRPr="00FE3888">
        <w:rPr>
          <w:sz w:val="22"/>
          <w:szCs w:val="22"/>
        </w:rPr>
        <w:t xml:space="preserve"> then amplified the global warming by enhancing the greenhouse effect. The long-term climate change represents a connection between the concentrations of Co</w:t>
      </w:r>
      <w:r w:rsidRPr="00FE3888">
        <w:rPr>
          <w:sz w:val="22"/>
          <w:szCs w:val="22"/>
          <w:vertAlign w:val="subscript"/>
        </w:rPr>
        <w:t>2</w:t>
      </w:r>
      <w:r w:rsidRPr="00FE3888">
        <w:rPr>
          <w:sz w:val="22"/>
          <w:szCs w:val="22"/>
        </w:rPr>
        <w:t xml:space="preserve"> in the atmosphere and means global temperature. Certain atmospheric gases, like Co</w:t>
      </w:r>
      <w:r w:rsidRPr="00FE3888">
        <w:rPr>
          <w:sz w:val="22"/>
          <w:szCs w:val="22"/>
          <w:vertAlign w:val="subscript"/>
        </w:rPr>
        <w:t>2</w:t>
      </w:r>
      <w:r w:rsidRPr="00FE3888">
        <w:rPr>
          <w:sz w:val="22"/>
          <w:szCs w:val="22"/>
        </w:rPr>
        <w:t xml:space="preserve">, water vapor and methane, are able to alter the energy balance of the Earth by being able to absorb long wave radiation emitted from the Earth’s surface. Without the greenhouse effect, the average global temperature of the Earth would be a cold -18° Celsius rather </w:t>
      </w:r>
      <w:r w:rsidRPr="00FE3888">
        <w:rPr>
          <w:sz w:val="22"/>
          <w:szCs w:val="22"/>
        </w:rPr>
        <w:lastRenderedPageBreak/>
        <w:t>than the present 15° Celsius. Co</w:t>
      </w:r>
      <w:r w:rsidRPr="00FE3888">
        <w:rPr>
          <w:sz w:val="22"/>
          <w:szCs w:val="22"/>
          <w:vertAlign w:val="subscript"/>
        </w:rPr>
        <w:t>2</w:t>
      </w:r>
      <w:r w:rsidRPr="00FE3888">
        <w:rPr>
          <w:sz w:val="22"/>
          <w:szCs w:val="22"/>
        </w:rPr>
        <w:t xml:space="preserve"> concentrations in the atmosphere have increased from about 280 ppm in pre-industrial times to 395 ppm at present. The variation of atmospheric Co</w:t>
      </w:r>
      <w:r w:rsidRPr="00FE3888">
        <w:rPr>
          <w:sz w:val="22"/>
          <w:szCs w:val="22"/>
          <w:vertAlign w:val="subscript"/>
        </w:rPr>
        <w:t>2</w:t>
      </w:r>
      <w:r w:rsidRPr="00FE3888">
        <w:rPr>
          <w:sz w:val="22"/>
          <w:szCs w:val="22"/>
        </w:rPr>
        <w:t xml:space="preserve"> (in ppmv) collected at Mauna Loa, Hawaii and their association with global surface temperature (GSTemp) during 1976 o</w:t>
      </w:r>
      <w:r w:rsidR="00482A7D">
        <w:rPr>
          <w:sz w:val="22"/>
          <w:szCs w:val="22"/>
        </w:rPr>
        <w:t>nwards are plotted in Figure 4</w:t>
      </w:r>
      <w:r w:rsidRPr="00FE3888">
        <w:rPr>
          <w:sz w:val="22"/>
          <w:szCs w:val="22"/>
        </w:rPr>
        <w:t>. From the plot, it is find that that the rate of concentration of atmospheric Co</w:t>
      </w:r>
      <w:r w:rsidRPr="00FE3888">
        <w:rPr>
          <w:sz w:val="22"/>
          <w:szCs w:val="22"/>
          <w:vertAlign w:val="subscript"/>
        </w:rPr>
        <w:t>2</w:t>
      </w:r>
      <w:r w:rsidRPr="00FE3888">
        <w:rPr>
          <w:sz w:val="22"/>
          <w:szCs w:val="22"/>
        </w:rPr>
        <w:t xml:space="preserve"> and GSTemp both are increasing continuously during above mentioned periods. A scatter plot between GSTemp and variation in Co</w:t>
      </w:r>
      <w:r w:rsidRPr="00FE3888">
        <w:rPr>
          <w:sz w:val="22"/>
          <w:szCs w:val="22"/>
          <w:vertAlign w:val="subscript"/>
        </w:rPr>
        <w:t>2</w:t>
      </w:r>
      <w:r w:rsidRPr="00FE3888">
        <w:rPr>
          <w:sz w:val="22"/>
          <w:szCs w:val="22"/>
        </w:rPr>
        <w:t xml:space="preserve"> for aforesaid period is shown in Figure 4.6, that shows a strong correlation (r=0.875) between them.</w:t>
      </w:r>
    </w:p>
    <w:p w:rsidR="00FE3888" w:rsidRDefault="00FE3888" w:rsidP="00FE3888">
      <w:pPr>
        <w:tabs>
          <w:tab w:val="left" w:pos="270"/>
          <w:tab w:val="left" w:pos="810"/>
        </w:tabs>
        <w:jc w:val="both"/>
        <w:rPr>
          <w:sz w:val="22"/>
          <w:szCs w:val="22"/>
        </w:rPr>
      </w:pPr>
    </w:p>
    <w:p w:rsidR="00FE3888" w:rsidRPr="00FE3888" w:rsidRDefault="00FE3888" w:rsidP="00FE3888">
      <w:pPr>
        <w:shd w:val="clear" w:color="auto" w:fill="FFFFFF"/>
        <w:ind w:left="1440" w:hanging="1440"/>
        <w:rPr>
          <w:color w:val="231F20"/>
        </w:rPr>
      </w:pPr>
      <w:r>
        <w:rPr>
          <w:noProof/>
          <w:color w:val="231F20"/>
        </w:rPr>
        <w:drawing>
          <wp:inline distT="0" distB="0" distL="0" distR="0">
            <wp:extent cx="5700811" cy="2686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06850" cy="2689291"/>
                    </a:xfrm>
                    <a:prstGeom prst="rect">
                      <a:avLst/>
                    </a:prstGeom>
                    <a:noFill/>
                  </pic:spPr>
                </pic:pic>
              </a:graphicData>
            </a:graphic>
          </wp:inline>
        </w:drawing>
      </w:r>
    </w:p>
    <w:p w:rsidR="00FE3888" w:rsidRPr="00454CC7" w:rsidRDefault="00482A7D" w:rsidP="00454CC7">
      <w:pPr>
        <w:overflowPunct w:val="0"/>
        <w:autoSpaceDE w:val="0"/>
        <w:autoSpaceDN w:val="0"/>
        <w:adjustRightInd w:val="0"/>
        <w:spacing w:before="240"/>
        <w:ind w:left="1440" w:hanging="1440"/>
        <w:jc w:val="both"/>
        <w:textAlignment w:val="baseline"/>
        <w:rPr>
          <w:rFonts w:eastAsia="Calibri"/>
          <w:b/>
          <w:color w:val="231F20"/>
          <w:sz w:val="20"/>
          <w:szCs w:val="20"/>
        </w:rPr>
      </w:pPr>
      <w:r w:rsidRPr="00454CC7">
        <w:rPr>
          <w:b/>
          <w:bCs/>
          <w:sz w:val="20"/>
          <w:szCs w:val="20"/>
        </w:rPr>
        <w:t>Figure 4</w:t>
      </w:r>
      <w:r w:rsidR="00FE3888" w:rsidRPr="00454CC7">
        <w:rPr>
          <w:b/>
          <w:bCs/>
          <w:sz w:val="20"/>
          <w:szCs w:val="20"/>
        </w:rPr>
        <w:tab/>
      </w:r>
      <w:r w:rsidR="00FE3888" w:rsidRPr="00454CC7">
        <w:rPr>
          <w:sz w:val="20"/>
          <w:szCs w:val="20"/>
        </w:rPr>
        <w:t xml:space="preserve">Scatter plot between yearly average value of </w:t>
      </w:r>
      <w:r w:rsidR="00FE3888" w:rsidRPr="00454CC7">
        <w:rPr>
          <w:rFonts w:eastAsia="Calibri"/>
          <w:sz w:val="20"/>
          <w:szCs w:val="20"/>
        </w:rPr>
        <w:t>concentrations</w:t>
      </w:r>
      <w:r w:rsidR="00FE3888" w:rsidRPr="00454CC7">
        <w:rPr>
          <w:rFonts w:eastAsia="Calibri"/>
          <w:color w:val="231F20"/>
          <w:sz w:val="20"/>
          <w:szCs w:val="20"/>
        </w:rPr>
        <w:t xml:space="preserve"> of a</w:t>
      </w:r>
      <w:r w:rsidR="00FE3888" w:rsidRPr="00454CC7">
        <w:rPr>
          <w:rFonts w:eastAsia="Calibri"/>
          <w:color w:val="000025"/>
          <w:sz w:val="20"/>
          <w:szCs w:val="20"/>
        </w:rPr>
        <w:t>tmospheric Co</w:t>
      </w:r>
      <w:r w:rsidR="00FE3888" w:rsidRPr="00454CC7">
        <w:rPr>
          <w:rFonts w:eastAsia="Calibri"/>
          <w:color w:val="000025"/>
          <w:sz w:val="20"/>
          <w:szCs w:val="20"/>
          <w:vertAlign w:val="subscript"/>
        </w:rPr>
        <w:t>2</w:t>
      </w:r>
      <w:r w:rsidR="00FE3888" w:rsidRPr="00454CC7">
        <w:rPr>
          <w:sz w:val="20"/>
          <w:szCs w:val="20"/>
        </w:rPr>
        <w:t xml:space="preserve">and </w:t>
      </w:r>
      <w:r w:rsidR="00FE3888" w:rsidRPr="00454CC7">
        <w:rPr>
          <w:rFonts w:eastAsia="Calibri"/>
          <w:color w:val="231F20"/>
          <w:sz w:val="20"/>
          <w:szCs w:val="20"/>
        </w:rPr>
        <w:t>global surface temperature (GSTemp) during 1976 onwards.</w:t>
      </w:r>
    </w:p>
    <w:p w:rsidR="00BA1E27" w:rsidRPr="00BA1E27" w:rsidRDefault="00BA1E27" w:rsidP="00BA1E27">
      <w:pPr>
        <w:tabs>
          <w:tab w:val="left" w:pos="270"/>
          <w:tab w:val="left" w:pos="810"/>
        </w:tabs>
        <w:spacing w:before="120" w:after="120"/>
        <w:jc w:val="both"/>
        <w:rPr>
          <w:b/>
          <w:sz w:val="22"/>
          <w:szCs w:val="22"/>
        </w:rPr>
      </w:pPr>
      <w:r w:rsidRPr="00BA1E27">
        <w:rPr>
          <w:b/>
          <w:sz w:val="22"/>
          <w:szCs w:val="22"/>
        </w:rPr>
        <w:t>Global Surface Temperature</w:t>
      </w:r>
    </w:p>
    <w:p w:rsidR="00BA1E27" w:rsidRPr="00BA1E27" w:rsidRDefault="00BA1E27" w:rsidP="00BA1E27">
      <w:pPr>
        <w:tabs>
          <w:tab w:val="left" w:pos="270"/>
          <w:tab w:val="left" w:pos="810"/>
        </w:tabs>
        <w:jc w:val="both"/>
        <w:rPr>
          <w:sz w:val="22"/>
          <w:szCs w:val="22"/>
        </w:rPr>
      </w:pPr>
      <w:r w:rsidRPr="00BA1E27">
        <w:rPr>
          <w:sz w:val="22"/>
          <w:szCs w:val="22"/>
        </w:rPr>
        <w:t xml:space="preserve">Climate has changed when the planet received more or less sunlight due to subtle shifts in its orbit, as the atmosphere or surface changed, or when the Sun’s energy varied. But in the past century, another force has started to influence Earth’s climate. Global warming and climate change have the potential to alter biological systems. More specifically, changes to near-surface air temperatures will likely influence ecosystem functioning and thus the biodiversity of plants, animals, and other forms of life. The current geographic ranges of plant and animal species have been established by adaptation to long-term seasonal climate patterns. As global warming alters these patterns on timescales considerably shorter than those that arose in the past from natural climate variability, relatively sudden climatic changes may challenge the natural adaptive capacity of many species. Warmer temperatures are also likely to affect the spread of infectious diseases, since the geographic ranges of carriers, such as insects and rodents, are often limited by climatic conditions. Severe weather conditions conducive to rodents or insects have been implicated in infectious disease outbreaks—for instance, the outbreaks of cholera and leptospirosis. The environment include the destruction of many coastal wetlands, salt marshes, and mangrove swamps as a result of rising sea levels and the loss of certain rare and fragile habitats that are often home to specialist species that are unable to thrive in other environments. Surface warming in temperate regions is likely to lead changes in various seasonal processes: earlier leaf production by trees, earlier greening of vegetation, altered timing of egg laying and hatching, and shifts in the seasonal migration patterns of birds, fishes, and other migratory animals. In high-latitude ecosystems, changes in the seasonal patterns of sea ice threaten predators such as polar bears and walruses; both species rely on broken sea ice for their hunting activities. Also in the high latitudes, a combination of warming waters, decreased sea ice, and changes in ocean salinity and circulation is likely to lead to reductions or redistributions in populations of algae and plankton. As a result, fish and other organisms that forage upon algae and plankton may be threatened. On land, rising temperatures and changes in precipitation patterns and drought frequencies are likely to alter patterns of disturbance by </w:t>
      </w:r>
      <w:r>
        <w:rPr>
          <w:sz w:val="22"/>
          <w:szCs w:val="22"/>
        </w:rPr>
        <w:t xml:space="preserve">fires and pests. </w:t>
      </w:r>
      <w:r w:rsidRPr="00BA1E27">
        <w:rPr>
          <w:sz w:val="22"/>
          <w:szCs w:val="22"/>
        </w:rPr>
        <w:t xml:space="preserve">Forecasts of climate extremes can improve </w:t>
      </w:r>
      <w:r w:rsidRPr="00BA1E27">
        <w:rPr>
          <w:sz w:val="22"/>
          <w:szCs w:val="22"/>
        </w:rPr>
        <w:lastRenderedPageBreak/>
        <w:t xml:space="preserve">awareness and reduce adverse effects. Focusing attention on extreme events also may help countries to develop better means of dealing with the longer-term impacts of global climate change. Conversely, the pressures on the biosphere that drive climate change may cause critical thresholds to be breached, leading to shifts in natural systems that are unforeseen and rapid. Studying historical extremes of climate cannot forewarn on the consequences of such events. </w:t>
      </w:r>
      <w:r>
        <w:rPr>
          <w:sz w:val="22"/>
          <w:szCs w:val="22"/>
        </w:rPr>
        <w:t>Extreme</w:t>
      </w:r>
      <w:r w:rsidRPr="00BA1E27">
        <w:rPr>
          <w:sz w:val="22"/>
          <w:szCs w:val="22"/>
        </w:rPr>
        <w:t xml:space="preserve"> changes in climate may be more stressful than slowly developing changes due to the greenhouse effect.</w:t>
      </w:r>
    </w:p>
    <w:p w:rsidR="00DC6D74" w:rsidRPr="00A061F8" w:rsidRDefault="00DC6D74" w:rsidP="00A061F8">
      <w:pPr>
        <w:pStyle w:val="NormalWeb"/>
        <w:spacing w:before="120" w:beforeAutospacing="0" w:after="120" w:afterAutospacing="0"/>
        <w:jc w:val="both"/>
        <w:rPr>
          <w:b/>
          <w:sz w:val="22"/>
          <w:szCs w:val="22"/>
        </w:rPr>
      </w:pPr>
      <w:r w:rsidRPr="00A061F8">
        <w:rPr>
          <w:b/>
          <w:sz w:val="22"/>
          <w:szCs w:val="22"/>
        </w:rPr>
        <w:t>Conclusion</w:t>
      </w:r>
    </w:p>
    <w:p w:rsidR="00DC6D74" w:rsidRPr="00A061F8" w:rsidRDefault="00DC6D74" w:rsidP="00DC6D74">
      <w:pPr>
        <w:pStyle w:val="NormalWeb"/>
        <w:spacing w:before="0" w:beforeAutospacing="0" w:after="0" w:afterAutospacing="0"/>
        <w:jc w:val="both"/>
        <w:rPr>
          <w:sz w:val="22"/>
          <w:szCs w:val="22"/>
        </w:rPr>
      </w:pPr>
      <w:r w:rsidRPr="00A061F8">
        <w:rPr>
          <w:sz w:val="22"/>
          <w:szCs w:val="22"/>
        </w:rPr>
        <w:t>Astrophysical data demonstrate that the Sun has been variable in activity and radiative output. Solar variability of the total irradiance with the 11-yr activity solar cycle shows good correlation. Several studies clearly suggest that solar output has varied on a time scale longer than 11-yr sunspot cycle. It appears to causing wide spread but limited climate Change. The solar radiations vary with time and affect accordingly the environment of the Earth. At the course of solar cycle, the total energy output of the sun changes by only 0.1%. The ultraviolet radiation from the Sun can change by several percent but the largest changes, however, occur in the intensity of the solar wind and interplanetary magnetic field. Finally, it is claimed that cosmic ray could provide the mechanism by which changes in solar activity affect the climate. The Sun powers Earth’s climate radiating energy at very short wavelengths, predominately in the visible or near-visible (ultraviolet) part of the spectrum. Roughly one-third of the solar energy that reaches the top of Earth’s atmosphere is reflected directly back to space, the remaining two thirds is absorbed by the surface and, lesser extent, by the atmosphere. To balance the absorbed incoming energy Earth radiates the same amount of energy back to space.</w:t>
      </w:r>
    </w:p>
    <w:p w:rsidR="0085623E" w:rsidRPr="00A061F8" w:rsidRDefault="00A061F8" w:rsidP="00A061F8">
      <w:pPr>
        <w:pStyle w:val="NormalWeb"/>
        <w:spacing w:before="120" w:beforeAutospacing="0" w:after="120" w:afterAutospacing="0"/>
        <w:jc w:val="both"/>
        <w:outlineLvl w:val="0"/>
        <w:rPr>
          <w:b/>
          <w:bCs/>
          <w:sz w:val="22"/>
          <w:szCs w:val="22"/>
        </w:rPr>
      </w:pPr>
      <w:r>
        <w:rPr>
          <w:b/>
          <w:bCs/>
          <w:sz w:val="22"/>
          <w:szCs w:val="22"/>
        </w:rPr>
        <w:t>References</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Friss-Christensen, E. and K. Lassen, </w:t>
      </w:r>
      <w:r w:rsidRPr="007E0CBA">
        <w:rPr>
          <w:b/>
          <w:bCs/>
          <w:sz w:val="20"/>
          <w:szCs w:val="20"/>
        </w:rPr>
        <w:t>1991</w:t>
      </w:r>
      <w:r w:rsidRPr="007E0CBA">
        <w:rPr>
          <w:bCs/>
          <w:sz w:val="20"/>
          <w:szCs w:val="20"/>
        </w:rPr>
        <w:t xml:space="preserve">, Length of the solar cycle, an indication of solar activity closely associated with climate, </w:t>
      </w:r>
      <w:r w:rsidRPr="007E0CBA">
        <w:rPr>
          <w:bCs/>
          <w:i/>
          <w:sz w:val="20"/>
          <w:szCs w:val="20"/>
        </w:rPr>
        <w:t>Science</w:t>
      </w:r>
      <w:r w:rsidRPr="007E0CBA">
        <w:rPr>
          <w:bCs/>
          <w:sz w:val="20"/>
          <w:szCs w:val="20"/>
        </w:rPr>
        <w:t xml:space="preserve"> 254, 698-700.</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Frӧhlich, C. and Lean J, </w:t>
      </w:r>
      <w:r w:rsidRPr="007E0CBA">
        <w:rPr>
          <w:b/>
          <w:bCs/>
          <w:sz w:val="20"/>
          <w:szCs w:val="20"/>
        </w:rPr>
        <w:t>2004</w:t>
      </w:r>
      <w:r w:rsidRPr="007E0CBA">
        <w:rPr>
          <w:bCs/>
          <w:sz w:val="20"/>
          <w:szCs w:val="20"/>
        </w:rPr>
        <w:t xml:space="preserve">, Solar radiate output and its variability: evidence and mechanisms, </w:t>
      </w:r>
      <w:r w:rsidRPr="007E0CBA">
        <w:rPr>
          <w:bCs/>
          <w:i/>
          <w:sz w:val="20"/>
          <w:szCs w:val="20"/>
        </w:rPr>
        <w:t>Astron. Astrophys. Rev</w:t>
      </w:r>
      <w:r w:rsidRPr="007E0CBA">
        <w:rPr>
          <w:bCs/>
          <w:sz w:val="20"/>
          <w:szCs w:val="20"/>
        </w:rPr>
        <w:t>., 12(4), 373-320.</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Haigh, J.D., </w:t>
      </w:r>
      <w:r w:rsidRPr="007E0CBA">
        <w:rPr>
          <w:b/>
          <w:bCs/>
          <w:sz w:val="20"/>
          <w:szCs w:val="20"/>
        </w:rPr>
        <w:t>2004</w:t>
      </w:r>
      <w:r w:rsidRPr="007E0CBA">
        <w:rPr>
          <w:bCs/>
          <w:sz w:val="20"/>
          <w:szCs w:val="20"/>
        </w:rPr>
        <w:t xml:space="preserve">, The effect of solar variability on Earth’s climate, </w:t>
      </w:r>
      <w:r w:rsidRPr="007E0CBA">
        <w:rPr>
          <w:bCs/>
          <w:i/>
          <w:sz w:val="20"/>
          <w:szCs w:val="20"/>
        </w:rPr>
        <w:t>Philos. Trans. R. Soc. Lond.,</w:t>
      </w:r>
      <w:r w:rsidRPr="007E0CBA">
        <w:rPr>
          <w:bCs/>
          <w:sz w:val="20"/>
          <w:szCs w:val="20"/>
        </w:rPr>
        <w:t xml:space="preserve"> A361, 95-111.</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Hathway, D.H. and Wilson R.M., 2004, </w:t>
      </w:r>
      <w:r w:rsidRPr="007E0CBA">
        <w:rPr>
          <w:bCs/>
          <w:i/>
          <w:sz w:val="20"/>
          <w:szCs w:val="20"/>
        </w:rPr>
        <w:t>Solar Physics</w:t>
      </w:r>
      <w:r w:rsidRPr="007E0CBA">
        <w:rPr>
          <w:bCs/>
          <w:sz w:val="20"/>
          <w:szCs w:val="20"/>
        </w:rPr>
        <w:t>, 224, 5.</w:t>
      </w:r>
    </w:p>
    <w:p w:rsidR="00A07230" w:rsidRPr="0024616A" w:rsidRDefault="00A07230" w:rsidP="00A07230">
      <w:pPr>
        <w:pStyle w:val="NormalWeb"/>
        <w:numPr>
          <w:ilvl w:val="0"/>
          <w:numId w:val="31"/>
        </w:numPr>
        <w:spacing w:before="0" w:beforeAutospacing="0" w:after="0" w:afterAutospacing="0"/>
        <w:jc w:val="both"/>
        <w:outlineLvl w:val="0"/>
        <w:rPr>
          <w:bCs/>
          <w:sz w:val="20"/>
          <w:szCs w:val="20"/>
        </w:rPr>
      </w:pPr>
      <w:r w:rsidRPr="0024616A">
        <w:rPr>
          <w:bCs/>
          <w:sz w:val="20"/>
          <w:szCs w:val="20"/>
        </w:rPr>
        <w:t xml:space="preserve">Kopp, G. and J.L. Lean, J.L., </w:t>
      </w:r>
      <w:r w:rsidRPr="0024616A">
        <w:rPr>
          <w:b/>
          <w:bCs/>
          <w:sz w:val="20"/>
          <w:szCs w:val="20"/>
        </w:rPr>
        <w:t>2011</w:t>
      </w:r>
      <w:r w:rsidRPr="0024616A">
        <w:rPr>
          <w:bCs/>
          <w:sz w:val="20"/>
          <w:szCs w:val="20"/>
        </w:rPr>
        <w:t xml:space="preserve">, </w:t>
      </w:r>
      <w:r w:rsidRPr="0024616A">
        <w:rPr>
          <w:bCs/>
          <w:i/>
          <w:sz w:val="20"/>
          <w:szCs w:val="20"/>
        </w:rPr>
        <w:t>Geophys. Res. Letters,</w:t>
      </w:r>
      <w:r w:rsidRPr="0024616A">
        <w:rPr>
          <w:bCs/>
          <w:sz w:val="20"/>
          <w:szCs w:val="20"/>
        </w:rPr>
        <w:t xml:space="preserve"> Frontier article, Vol. 38, L01706. </w:t>
      </w:r>
    </w:p>
    <w:p w:rsidR="00A07230" w:rsidRPr="0024616A" w:rsidRDefault="00A07230" w:rsidP="00A07230">
      <w:pPr>
        <w:pStyle w:val="NormalWeb"/>
        <w:numPr>
          <w:ilvl w:val="0"/>
          <w:numId w:val="31"/>
        </w:numPr>
        <w:spacing w:before="0" w:beforeAutospacing="0" w:after="0" w:afterAutospacing="0"/>
        <w:jc w:val="both"/>
        <w:outlineLvl w:val="0"/>
        <w:rPr>
          <w:bCs/>
          <w:sz w:val="20"/>
          <w:szCs w:val="20"/>
        </w:rPr>
      </w:pPr>
      <w:r w:rsidRPr="0024616A">
        <w:rPr>
          <w:bCs/>
          <w:sz w:val="20"/>
          <w:szCs w:val="20"/>
        </w:rPr>
        <w:t xml:space="preserve">Lean, J., Beer, J. and Bradley, R., </w:t>
      </w:r>
      <w:r w:rsidRPr="0024616A">
        <w:rPr>
          <w:b/>
          <w:bCs/>
          <w:sz w:val="20"/>
          <w:szCs w:val="20"/>
        </w:rPr>
        <w:t>1995</w:t>
      </w:r>
      <w:r w:rsidRPr="0024616A">
        <w:rPr>
          <w:bCs/>
          <w:sz w:val="20"/>
          <w:szCs w:val="20"/>
        </w:rPr>
        <w:t xml:space="preserve">, </w:t>
      </w:r>
      <w:r w:rsidRPr="0024616A">
        <w:rPr>
          <w:bCs/>
          <w:i/>
          <w:sz w:val="20"/>
          <w:szCs w:val="20"/>
        </w:rPr>
        <w:t>Geophys. Res. Lett</w:t>
      </w:r>
      <w:r w:rsidRPr="0024616A">
        <w:rPr>
          <w:bCs/>
          <w:sz w:val="20"/>
          <w:szCs w:val="20"/>
        </w:rPr>
        <w:t>., 22, 3195.</w:t>
      </w:r>
    </w:p>
    <w:p w:rsidR="00A07230" w:rsidRDefault="00A07230" w:rsidP="00A07230">
      <w:pPr>
        <w:pStyle w:val="NormalWeb"/>
        <w:numPr>
          <w:ilvl w:val="0"/>
          <w:numId w:val="31"/>
        </w:numPr>
        <w:spacing w:before="0" w:beforeAutospacing="0" w:after="0" w:afterAutospacing="0"/>
        <w:jc w:val="both"/>
        <w:outlineLvl w:val="0"/>
        <w:rPr>
          <w:bCs/>
          <w:sz w:val="20"/>
          <w:szCs w:val="20"/>
        </w:rPr>
      </w:pPr>
      <w:r w:rsidRPr="0024616A">
        <w:rPr>
          <w:bCs/>
          <w:sz w:val="20"/>
          <w:szCs w:val="20"/>
        </w:rPr>
        <w:t xml:space="preserve">Lockwood M. and Fröhlich, C., 2008, </w:t>
      </w:r>
      <w:r w:rsidRPr="0024616A">
        <w:rPr>
          <w:bCs/>
          <w:i/>
          <w:sz w:val="20"/>
          <w:szCs w:val="20"/>
        </w:rPr>
        <w:t>Proc. Roy. Soc., Lond</w:t>
      </w:r>
      <w:r w:rsidRPr="0024616A">
        <w:rPr>
          <w:bCs/>
          <w:sz w:val="20"/>
          <w:szCs w:val="20"/>
        </w:rPr>
        <w:t xml:space="preserve">. </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Michnowski, S.,</w:t>
      </w:r>
      <w:r w:rsidRPr="007E0CBA">
        <w:rPr>
          <w:b/>
          <w:bCs/>
          <w:sz w:val="20"/>
          <w:szCs w:val="20"/>
        </w:rPr>
        <w:t xml:space="preserve"> 1998</w:t>
      </w:r>
      <w:r w:rsidRPr="007E0CBA">
        <w:rPr>
          <w:bCs/>
          <w:sz w:val="20"/>
          <w:szCs w:val="20"/>
        </w:rPr>
        <w:t xml:space="preserve">, Solar wind influences on atmospheric electrical variables in Polar Regions, </w:t>
      </w:r>
      <w:r w:rsidRPr="0048342F">
        <w:rPr>
          <w:bCs/>
          <w:i/>
          <w:sz w:val="20"/>
          <w:szCs w:val="20"/>
        </w:rPr>
        <w:t>Journals of Geophysical Research</w:t>
      </w:r>
      <w:r w:rsidRPr="007E0CBA">
        <w:rPr>
          <w:bCs/>
          <w:sz w:val="20"/>
          <w:szCs w:val="20"/>
        </w:rPr>
        <w:t>, 103(13), 948.</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Price, C., Rind, D.,</w:t>
      </w:r>
      <w:r w:rsidRPr="007E0CBA">
        <w:rPr>
          <w:b/>
          <w:bCs/>
          <w:sz w:val="20"/>
          <w:szCs w:val="20"/>
        </w:rPr>
        <w:t>1990</w:t>
      </w:r>
      <w:r w:rsidRPr="007E0CBA">
        <w:rPr>
          <w:bCs/>
          <w:sz w:val="20"/>
          <w:szCs w:val="20"/>
        </w:rPr>
        <w:t>, The effect of global warming on lighting frequencies in proceedings of the 16</w:t>
      </w:r>
      <w:r w:rsidRPr="007E0CBA">
        <w:rPr>
          <w:bCs/>
          <w:sz w:val="20"/>
          <w:szCs w:val="20"/>
          <w:vertAlign w:val="superscript"/>
        </w:rPr>
        <w:t>th</w:t>
      </w:r>
      <w:r w:rsidRPr="007E0CBA">
        <w:rPr>
          <w:bCs/>
          <w:sz w:val="20"/>
          <w:szCs w:val="20"/>
        </w:rPr>
        <w:t xml:space="preserve"> conferences on severe storms and atmospheric electricity, AMS, </w:t>
      </w:r>
      <w:r w:rsidRPr="007E0CBA">
        <w:rPr>
          <w:bCs/>
          <w:i/>
          <w:sz w:val="20"/>
          <w:szCs w:val="20"/>
        </w:rPr>
        <w:t>Kannaskis Park, Alberta, Canda</w:t>
      </w:r>
      <w:r w:rsidRPr="007E0CBA">
        <w:rPr>
          <w:bCs/>
          <w:sz w:val="20"/>
          <w:szCs w:val="20"/>
        </w:rPr>
        <w:t>, P.748-751.</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Svalgaard, L., Cliver, E., Kamide, Y., </w:t>
      </w:r>
      <w:r w:rsidRPr="007E0CBA">
        <w:rPr>
          <w:b/>
          <w:bCs/>
          <w:sz w:val="20"/>
          <w:szCs w:val="20"/>
        </w:rPr>
        <w:t>2005</w:t>
      </w:r>
      <w:r w:rsidRPr="007E0CBA">
        <w:rPr>
          <w:bCs/>
          <w:sz w:val="20"/>
          <w:szCs w:val="20"/>
        </w:rPr>
        <w:t xml:space="preserve">, </w:t>
      </w:r>
      <w:r w:rsidRPr="007E0CBA">
        <w:rPr>
          <w:bCs/>
          <w:i/>
          <w:sz w:val="20"/>
          <w:szCs w:val="20"/>
        </w:rPr>
        <w:t>Geo Res.Let</w:t>
      </w:r>
      <w:r w:rsidRPr="007E0CBA">
        <w:rPr>
          <w:bCs/>
          <w:sz w:val="20"/>
          <w:szCs w:val="20"/>
        </w:rPr>
        <w:t>., 32, 01104.</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Wilson, R.C., </w:t>
      </w:r>
      <w:r w:rsidRPr="007E0CBA">
        <w:rPr>
          <w:b/>
          <w:bCs/>
          <w:sz w:val="20"/>
          <w:szCs w:val="20"/>
        </w:rPr>
        <w:t>1997</w:t>
      </w:r>
      <w:r w:rsidRPr="007E0CBA">
        <w:rPr>
          <w:bCs/>
          <w:sz w:val="20"/>
          <w:szCs w:val="20"/>
        </w:rPr>
        <w:t xml:space="preserve">, Total Solar Irradiance trend during solar cycle 21 and 22, </w:t>
      </w:r>
      <w:r w:rsidRPr="0048342F">
        <w:rPr>
          <w:bCs/>
          <w:i/>
          <w:sz w:val="20"/>
          <w:szCs w:val="20"/>
        </w:rPr>
        <w:t>Science</w:t>
      </w:r>
      <w:r w:rsidRPr="007E0CBA">
        <w:rPr>
          <w:bCs/>
          <w:sz w:val="20"/>
          <w:szCs w:val="20"/>
        </w:rPr>
        <w:t>, 277, 1963-5.</w:t>
      </w:r>
    </w:p>
    <w:p w:rsidR="0024616A" w:rsidRDefault="0024616A" w:rsidP="0024616A">
      <w:pPr>
        <w:pStyle w:val="NormalWeb"/>
        <w:spacing w:before="0" w:beforeAutospacing="0" w:after="0" w:afterAutospacing="0"/>
        <w:jc w:val="both"/>
        <w:outlineLvl w:val="0"/>
        <w:rPr>
          <w:bCs/>
          <w:sz w:val="20"/>
          <w:szCs w:val="20"/>
        </w:rPr>
      </w:pPr>
      <w:bookmarkStart w:id="0" w:name="_GoBack"/>
      <w:bookmarkEnd w:id="0"/>
    </w:p>
    <w:sectPr w:rsidR="0024616A" w:rsidSect="00CF37EA">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eta Plus Normal">
    <w:altName w:val="Meta Plus Normal"/>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31F0E"/>
    <w:multiLevelType w:val="hybridMultilevel"/>
    <w:tmpl w:val="CE46E970"/>
    <w:lvl w:ilvl="0" w:tplc="0409001B">
      <w:start w:val="1"/>
      <w:numFmt w:val="lowerRoman"/>
      <w:lvlText w:val="%1."/>
      <w:lvlJc w:val="right"/>
      <w:pPr>
        <w:tabs>
          <w:tab w:val="num" w:pos="360"/>
        </w:tabs>
        <w:ind w:left="360" w:hanging="360"/>
      </w:p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38544DE"/>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0E6671"/>
    <w:multiLevelType w:val="hybridMultilevel"/>
    <w:tmpl w:val="8E60A44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0EBE3386"/>
    <w:multiLevelType w:val="hybridMultilevel"/>
    <w:tmpl w:val="BA54DB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5A331BD"/>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A030D4"/>
    <w:multiLevelType w:val="hybridMultilevel"/>
    <w:tmpl w:val="E6B0796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1440"/>
        </w:tabs>
        <w:ind w:left="144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1AF157D8"/>
    <w:multiLevelType w:val="hybridMultilevel"/>
    <w:tmpl w:val="A72E2958"/>
    <w:lvl w:ilvl="0" w:tplc="0409000F">
      <w:start w:val="1"/>
      <w:numFmt w:val="decimal"/>
      <w:lvlText w:val="%1."/>
      <w:lvlJc w:val="left"/>
      <w:pPr>
        <w:ind w:left="81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1D767424"/>
    <w:multiLevelType w:val="hybridMultilevel"/>
    <w:tmpl w:val="938AB13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nsid w:val="21AF6EB0"/>
    <w:multiLevelType w:val="hybridMultilevel"/>
    <w:tmpl w:val="425C22EA"/>
    <w:lvl w:ilvl="0" w:tplc="ECB6A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0A307A"/>
    <w:multiLevelType w:val="hybridMultilevel"/>
    <w:tmpl w:val="563CAA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26E13202"/>
    <w:multiLevelType w:val="multilevel"/>
    <w:tmpl w:val="5BB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206C39"/>
    <w:multiLevelType w:val="hybridMultilevel"/>
    <w:tmpl w:val="1E9CA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6878C2"/>
    <w:multiLevelType w:val="hybridMultilevel"/>
    <w:tmpl w:val="081C7A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0BA105F"/>
    <w:multiLevelType w:val="hybridMultilevel"/>
    <w:tmpl w:val="7C02CED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4">
    <w:nsid w:val="323A10AD"/>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2142E"/>
    <w:multiLevelType w:val="hybridMultilevel"/>
    <w:tmpl w:val="972637D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6">
    <w:nsid w:val="3DDC6F42"/>
    <w:multiLevelType w:val="hybridMultilevel"/>
    <w:tmpl w:val="922289B0"/>
    <w:lvl w:ilvl="0" w:tplc="0409000F">
      <w:start w:val="1"/>
      <w:numFmt w:val="decimal"/>
      <w:lvlText w:val="%1."/>
      <w:lvlJc w:val="left"/>
      <w:pPr>
        <w:ind w:left="81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FA061CA"/>
    <w:multiLevelType w:val="hybridMultilevel"/>
    <w:tmpl w:val="92AC42E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8">
    <w:nsid w:val="536477B4"/>
    <w:multiLevelType w:val="multilevel"/>
    <w:tmpl w:val="438A6C9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5C79AE"/>
    <w:multiLevelType w:val="hybridMultilevel"/>
    <w:tmpl w:val="B92697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E605E77"/>
    <w:multiLevelType w:val="hybridMultilevel"/>
    <w:tmpl w:val="7F94B53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BF84714"/>
    <w:multiLevelType w:val="hybridMultilevel"/>
    <w:tmpl w:val="EF6ECF9C"/>
    <w:lvl w:ilvl="0" w:tplc="04090001">
      <w:start w:val="1"/>
      <w:numFmt w:val="bullet"/>
      <w:lvlText w:val=""/>
      <w:lvlJc w:val="left"/>
      <w:pPr>
        <w:tabs>
          <w:tab w:val="num" w:pos="900"/>
        </w:tabs>
        <w:ind w:left="900" w:hanging="360"/>
      </w:pPr>
      <w:rPr>
        <w:rFonts w:ascii="Symbol" w:hAnsi="Symbol" w:hint="default"/>
      </w:rPr>
    </w:lvl>
    <w:lvl w:ilvl="1" w:tplc="0409000F">
      <w:start w:val="1"/>
      <w:numFmt w:val="decimal"/>
      <w:lvlText w:val="%2."/>
      <w:lvlJc w:val="left"/>
      <w:pPr>
        <w:tabs>
          <w:tab w:val="num" w:pos="1620"/>
        </w:tabs>
        <w:ind w:left="1620" w:hanging="360"/>
      </w:pPr>
      <w:rPr>
        <w:rFonts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
    <w:nsid w:val="6DC27FB8"/>
    <w:multiLevelType w:val="hybridMultilevel"/>
    <w:tmpl w:val="2E30333A"/>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1440"/>
        </w:tabs>
        <w:ind w:left="144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6EAB5D63"/>
    <w:multiLevelType w:val="multilevel"/>
    <w:tmpl w:val="E7EE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1F4AFA"/>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B170D9"/>
    <w:multiLevelType w:val="hybridMultilevel"/>
    <w:tmpl w:val="0DEA14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1DE2CAD"/>
    <w:multiLevelType w:val="hybridMultilevel"/>
    <w:tmpl w:val="F092CD3C"/>
    <w:lvl w:ilvl="0" w:tplc="1D103E64">
      <w:start w:val="1"/>
      <w:numFmt w:val="decimal"/>
      <w:lvlText w:val="[%1]"/>
      <w:lvlJc w:val="left"/>
      <w:pPr>
        <w:tabs>
          <w:tab w:val="num" w:pos="1080"/>
        </w:tabs>
        <w:ind w:left="1080" w:hanging="720"/>
      </w:pPr>
    </w:lvl>
    <w:lvl w:ilvl="1" w:tplc="2DB6E364">
      <w:start w:val="1"/>
      <w:numFmt w:val="decimal"/>
      <w:lvlText w:val="%2"/>
      <w:lvlJc w:val="left"/>
      <w:pPr>
        <w:tabs>
          <w:tab w:val="num" w:pos="1080"/>
        </w:tabs>
        <w:ind w:left="1080" w:hanging="720"/>
      </w:pPr>
      <w:rPr>
        <w:b/>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72CC513C"/>
    <w:multiLevelType w:val="multilevel"/>
    <w:tmpl w:val="80F6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8412F2"/>
    <w:multiLevelType w:val="hybridMultilevel"/>
    <w:tmpl w:val="F5EC12D6"/>
    <w:lvl w:ilvl="0" w:tplc="ECB6A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D90C4C"/>
    <w:multiLevelType w:val="hybridMultilevel"/>
    <w:tmpl w:val="06460D2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8"/>
  </w:num>
  <w:num w:numId="2">
    <w:abstractNumId w:val="21"/>
  </w:num>
  <w:num w:numId="3">
    <w:abstractNumId w:val="17"/>
  </w:num>
  <w:num w:numId="4">
    <w:abstractNumId w:val="7"/>
  </w:num>
  <w:num w:numId="5">
    <w:abstractNumId w:val="13"/>
  </w:num>
  <w:num w:numId="6">
    <w:abstractNumId w:val="15"/>
  </w:num>
  <w:num w:numId="7">
    <w:abstractNumId w:val="14"/>
  </w:num>
  <w:num w:numId="8">
    <w:abstractNumId w:val="24"/>
  </w:num>
  <w:num w:numId="9">
    <w:abstractNumId w:val="4"/>
  </w:num>
  <w:num w:numId="10">
    <w:abstractNumId w:val="23"/>
  </w:num>
  <w:num w:numId="11">
    <w:abstractNumId w:val="1"/>
  </w:num>
  <w:num w:numId="12">
    <w:abstractNumId w:val="27"/>
  </w:num>
  <w:num w:numId="13">
    <w:abstractNumId w:val="22"/>
  </w:num>
  <w:num w:numId="14">
    <w:abstractNumId w:val="12"/>
  </w:num>
  <w:num w:numId="15">
    <w:abstractNumId w:val="0"/>
  </w:num>
  <w:num w:numId="16">
    <w:abstractNumId w:val="29"/>
  </w:num>
  <w:num w:numId="17">
    <w:abstractNumId w:val="9"/>
  </w:num>
  <w:num w:numId="18">
    <w:abstractNumId w:val="2"/>
  </w:num>
  <w:num w:numId="19">
    <w:abstractNumId w:val="5"/>
  </w:num>
  <w:num w:numId="20">
    <w:abstractNumId w:val="20"/>
  </w:num>
  <w:num w:numId="21">
    <w:abstractNumId w:val="19"/>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1"/>
  </w:num>
  <w:num w:numId="27">
    <w:abstractNumId w:val="10"/>
  </w:num>
  <w:num w:numId="28">
    <w:abstractNumId w:val="25"/>
  </w:num>
  <w:num w:numId="29">
    <w:abstractNumId w:val="16"/>
  </w:num>
  <w:num w:numId="30">
    <w:abstractNumId w:val="8"/>
  </w:num>
  <w:num w:numId="3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defaultTabStop w:val="720"/>
  <w:characterSpacingControl w:val="doNotCompress"/>
  <w:compat/>
  <w:rsids>
    <w:rsidRoot w:val="0085623E"/>
    <w:rsid w:val="000051DA"/>
    <w:rsid w:val="00063CB1"/>
    <w:rsid w:val="000B3B0F"/>
    <w:rsid w:val="001E7D84"/>
    <w:rsid w:val="0024616A"/>
    <w:rsid w:val="00291D81"/>
    <w:rsid w:val="002D4D8F"/>
    <w:rsid w:val="002F3B3D"/>
    <w:rsid w:val="00310F50"/>
    <w:rsid w:val="00380428"/>
    <w:rsid w:val="00383F49"/>
    <w:rsid w:val="003C49CB"/>
    <w:rsid w:val="00454CC7"/>
    <w:rsid w:val="00475E72"/>
    <w:rsid w:val="00482A7D"/>
    <w:rsid w:val="0048342F"/>
    <w:rsid w:val="004957AE"/>
    <w:rsid w:val="004E0B33"/>
    <w:rsid w:val="00537AF1"/>
    <w:rsid w:val="006A3970"/>
    <w:rsid w:val="007169E2"/>
    <w:rsid w:val="00762B93"/>
    <w:rsid w:val="007B0ABF"/>
    <w:rsid w:val="007B16FD"/>
    <w:rsid w:val="007E0CBA"/>
    <w:rsid w:val="00804628"/>
    <w:rsid w:val="008105B6"/>
    <w:rsid w:val="0085623E"/>
    <w:rsid w:val="00897263"/>
    <w:rsid w:val="00925228"/>
    <w:rsid w:val="00936C0E"/>
    <w:rsid w:val="0098651E"/>
    <w:rsid w:val="00A061F8"/>
    <w:rsid w:val="00A07230"/>
    <w:rsid w:val="00A45A27"/>
    <w:rsid w:val="00A637CC"/>
    <w:rsid w:val="00B2719B"/>
    <w:rsid w:val="00B4753E"/>
    <w:rsid w:val="00BA1E27"/>
    <w:rsid w:val="00C829FC"/>
    <w:rsid w:val="00CF24F7"/>
    <w:rsid w:val="00CF37EA"/>
    <w:rsid w:val="00D6662F"/>
    <w:rsid w:val="00DC6D74"/>
    <w:rsid w:val="00EE76A1"/>
    <w:rsid w:val="00FE38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Cit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5623E"/>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85623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85623E"/>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85623E"/>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85623E"/>
    <w:pPr>
      <w:keepNext/>
      <w:spacing w:before="40" w:after="40"/>
      <w:ind w:left="720"/>
      <w:outlineLvl w:val="5"/>
    </w:pPr>
    <w:rPr>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623E"/>
    <w:rPr>
      <w:rFonts w:ascii="Arial" w:eastAsia="Times New Roman" w:hAnsi="Arial" w:cs="Arial"/>
      <w:b/>
      <w:bCs/>
      <w:kern w:val="32"/>
      <w:sz w:val="32"/>
      <w:szCs w:val="32"/>
    </w:rPr>
  </w:style>
  <w:style w:type="character" w:customStyle="1" w:styleId="Heading2Char">
    <w:name w:val="Heading 2 Char"/>
    <w:basedOn w:val="DefaultParagraphFont"/>
    <w:link w:val="Heading2"/>
    <w:rsid w:val="008562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85623E"/>
    <w:rPr>
      <w:rFonts w:ascii="Arial" w:eastAsia="Times New Roman" w:hAnsi="Arial" w:cs="Arial"/>
      <w:b/>
      <w:bCs/>
      <w:sz w:val="26"/>
      <w:szCs w:val="26"/>
    </w:rPr>
  </w:style>
  <w:style w:type="character" w:customStyle="1" w:styleId="Heading4Char">
    <w:name w:val="Heading 4 Char"/>
    <w:basedOn w:val="DefaultParagraphFont"/>
    <w:link w:val="Heading4"/>
    <w:semiHidden/>
    <w:rsid w:val="0085623E"/>
    <w:rPr>
      <w:rFonts w:ascii="Calibri" w:eastAsia="Times New Roman" w:hAnsi="Calibri" w:cs="Times New Roman"/>
      <w:b/>
      <w:bCs/>
      <w:sz w:val="28"/>
      <w:szCs w:val="28"/>
    </w:rPr>
  </w:style>
  <w:style w:type="character" w:customStyle="1" w:styleId="Heading6Char">
    <w:name w:val="Heading 6 Char"/>
    <w:basedOn w:val="DefaultParagraphFont"/>
    <w:link w:val="Heading6"/>
    <w:rsid w:val="0085623E"/>
    <w:rPr>
      <w:rFonts w:ascii="Times New Roman" w:eastAsia="Times New Roman" w:hAnsi="Times New Roman" w:cs="Times New Roman"/>
      <w:u w:val="single"/>
    </w:rPr>
  </w:style>
  <w:style w:type="character" w:styleId="Hyperlink">
    <w:name w:val="Hyperlink"/>
    <w:basedOn w:val="DefaultParagraphFont"/>
    <w:rsid w:val="0085623E"/>
    <w:rPr>
      <w:color w:val="0000FF"/>
      <w:u w:val="single"/>
    </w:rPr>
  </w:style>
  <w:style w:type="character" w:styleId="Emphasis">
    <w:name w:val="Emphasis"/>
    <w:basedOn w:val="DefaultParagraphFont"/>
    <w:qFormat/>
    <w:rsid w:val="0085623E"/>
    <w:rPr>
      <w:i/>
      <w:iCs/>
    </w:rPr>
  </w:style>
  <w:style w:type="paragraph" w:styleId="NormalWeb">
    <w:name w:val="Normal (Web)"/>
    <w:basedOn w:val="Normal"/>
    <w:rsid w:val="0085623E"/>
    <w:pPr>
      <w:spacing w:before="100" w:beforeAutospacing="1" w:after="100" w:afterAutospacing="1"/>
    </w:pPr>
  </w:style>
  <w:style w:type="character" w:customStyle="1" w:styleId="mw-headline">
    <w:name w:val="mw-headline"/>
    <w:basedOn w:val="DefaultParagraphFont"/>
    <w:rsid w:val="0085623E"/>
  </w:style>
  <w:style w:type="paragraph" w:styleId="BodyTextIndent">
    <w:name w:val="Body Text Indent"/>
    <w:basedOn w:val="Normal"/>
    <w:link w:val="BodyTextIndentChar"/>
    <w:rsid w:val="0085623E"/>
    <w:pPr>
      <w:spacing w:before="40" w:after="40"/>
      <w:ind w:left="720"/>
    </w:pPr>
    <w:rPr>
      <w:rFonts w:ascii="Arial Narrow" w:hAnsi="Arial Narrow" w:cs="Arial"/>
      <w:b/>
      <w:iCs/>
      <w:sz w:val="22"/>
      <w:szCs w:val="22"/>
    </w:rPr>
  </w:style>
  <w:style w:type="character" w:customStyle="1" w:styleId="BodyTextIndentChar">
    <w:name w:val="Body Text Indent Char"/>
    <w:basedOn w:val="DefaultParagraphFont"/>
    <w:link w:val="BodyTextIndent"/>
    <w:rsid w:val="0085623E"/>
    <w:rPr>
      <w:rFonts w:ascii="Arial Narrow" w:eastAsia="Times New Roman" w:hAnsi="Arial Narrow" w:cs="Arial"/>
      <w:b/>
      <w:iCs/>
    </w:rPr>
  </w:style>
  <w:style w:type="character" w:customStyle="1" w:styleId="citation">
    <w:name w:val="citation"/>
    <w:basedOn w:val="DefaultParagraphFont"/>
    <w:rsid w:val="0085623E"/>
    <w:rPr>
      <w:i w:val="0"/>
      <w:iCs w:val="0"/>
    </w:rPr>
  </w:style>
  <w:style w:type="character" w:customStyle="1" w:styleId="z3988">
    <w:name w:val="z3988"/>
    <w:basedOn w:val="DefaultParagraphFont"/>
    <w:rsid w:val="0085623E"/>
  </w:style>
  <w:style w:type="character" w:customStyle="1" w:styleId="editsection">
    <w:name w:val="editsection"/>
    <w:basedOn w:val="DefaultParagraphFont"/>
    <w:rsid w:val="0085623E"/>
  </w:style>
  <w:style w:type="character" w:customStyle="1" w:styleId="printonly">
    <w:name w:val="printonly"/>
    <w:basedOn w:val="DefaultParagraphFont"/>
    <w:rsid w:val="0085623E"/>
  </w:style>
  <w:style w:type="character" w:customStyle="1" w:styleId="neverexpand">
    <w:name w:val="neverexpand"/>
    <w:basedOn w:val="DefaultParagraphFont"/>
    <w:rsid w:val="0085623E"/>
  </w:style>
  <w:style w:type="character" w:customStyle="1" w:styleId="citationweb">
    <w:name w:val="citation web"/>
    <w:basedOn w:val="DefaultParagraphFont"/>
    <w:rsid w:val="0085623E"/>
  </w:style>
  <w:style w:type="paragraph" w:styleId="BodyTextIndent2">
    <w:name w:val="Body Text Indent 2"/>
    <w:basedOn w:val="Normal"/>
    <w:link w:val="BodyTextIndent2Char"/>
    <w:rsid w:val="0085623E"/>
    <w:pPr>
      <w:spacing w:before="100" w:beforeAutospacing="1" w:after="100" w:afterAutospacing="1"/>
      <w:ind w:left="900"/>
    </w:pPr>
    <w:rPr>
      <w:sz w:val="18"/>
      <w:szCs w:val="18"/>
    </w:rPr>
  </w:style>
  <w:style w:type="character" w:customStyle="1" w:styleId="BodyTextIndent2Char">
    <w:name w:val="Body Text Indent 2 Char"/>
    <w:basedOn w:val="DefaultParagraphFont"/>
    <w:link w:val="BodyTextIndent2"/>
    <w:rsid w:val="0085623E"/>
    <w:rPr>
      <w:rFonts w:ascii="Times New Roman" w:eastAsia="Times New Roman" w:hAnsi="Times New Roman" w:cs="Times New Roman"/>
      <w:sz w:val="18"/>
      <w:szCs w:val="18"/>
    </w:rPr>
  </w:style>
  <w:style w:type="paragraph" w:styleId="BodyTextIndent3">
    <w:name w:val="Body Text Indent 3"/>
    <w:basedOn w:val="Normal"/>
    <w:link w:val="BodyTextIndent3Char"/>
    <w:rsid w:val="0085623E"/>
    <w:pPr>
      <w:spacing w:before="100" w:beforeAutospacing="1" w:after="100" w:afterAutospacing="1"/>
      <w:ind w:left="900"/>
      <w:jc w:val="both"/>
    </w:pPr>
    <w:rPr>
      <w:sz w:val="18"/>
      <w:szCs w:val="18"/>
    </w:rPr>
  </w:style>
  <w:style w:type="character" w:customStyle="1" w:styleId="BodyTextIndent3Char">
    <w:name w:val="Body Text Indent 3 Char"/>
    <w:basedOn w:val="DefaultParagraphFont"/>
    <w:link w:val="BodyTextIndent3"/>
    <w:rsid w:val="0085623E"/>
    <w:rPr>
      <w:rFonts w:ascii="Times New Roman" w:eastAsia="Times New Roman" w:hAnsi="Times New Roman" w:cs="Times New Roman"/>
      <w:sz w:val="18"/>
      <w:szCs w:val="18"/>
    </w:rPr>
  </w:style>
  <w:style w:type="paragraph" w:styleId="Footer">
    <w:name w:val="footer"/>
    <w:basedOn w:val="Normal"/>
    <w:link w:val="FooterChar"/>
    <w:rsid w:val="0085623E"/>
    <w:pPr>
      <w:tabs>
        <w:tab w:val="center" w:pos="4320"/>
        <w:tab w:val="right" w:pos="8640"/>
      </w:tabs>
    </w:pPr>
  </w:style>
  <w:style w:type="character" w:customStyle="1" w:styleId="FooterChar">
    <w:name w:val="Footer Char"/>
    <w:basedOn w:val="DefaultParagraphFont"/>
    <w:link w:val="Footer"/>
    <w:rsid w:val="0085623E"/>
    <w:rPr>
      <w:rFonts w:ascii="Times New Roman" w:eastAsia="Times New Roman" w:hAnsi="Times New Roman" w:cs="Times New Roman"/>
      <w:sz w:val="24"/>
      <w:szCs w:val="24"/>
    </w:rPr>
  </w:style>
  <w:style w:type="character" w:styleId="PageNumber">
    <w:name w:val="page number"/>
    <w:basedOn w:val="DefaultParagraphFont"/>
    <w:rsid w:val="0085623E"/>
  </w:style>
  <w:style w:type="paragraph" w:customStyle="1" w:styleId="Default">
    <w:name w:val="Default"/>
    <w:rsid w:val="0085623E"/>
    <w:pPr>
      <w:autoSpaceDE w:val="0"/>
      <w:autoSpaceDN w:val="0"/>
      <w:adjustRightInd w:val="0"/>
      <w:spacing w:after="0" w:line="240" w:lineRule="auto"/>
    </w:pPr>
    <w:rPr>
      <w:rFonts w:ascii="Meta Plus Normal" w:eastAsia="Times New Roman" w:hAnsi="Meta Plus Normal" w:cs="Meta Plus Normal"/>
      <w:color w:val="000000"/>
      <w:sz w:val="24"/>
      <w:szCs w:val="24"/>
    </w:rPr>
  </w:style>
  <w:style w:type="paragraph" w:customStyle="1" w:styleId="text">
    <w:name w:val="text"/>
    <w:basedOn w:val="Normal"/>
    <w:rsid w:val="0085623E"/>
    <w:pPr>
      <w:spacing w:before="100" w:beforeAutospacing="1" w:after="100" w:afterAutospacing="1"/>
    </w:pPr>
    <w:rPr>
      <w:color w:val="333333"/>
      <w:sz w:val="30"/>
      <w:szCs w:val="30"/>
    </w:rPr>
  </w:style>
  <w:style w:type="paragraph" w:styleId="ListParagraph">
    <w:name w:val="List Paragraph"/>
    <w:basedOn w:val="Normal"/>
    <w:uiPriority w:val="34"/>
    <w:qFormat/>
    <w:rsid w:val="0085623E"/>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85623E"/>
    <w:pPr>
      <w:spacing w:after="120"/>
    </w:pPr>
  </w:style>
  <w:style w:type="character" w:customStyle="1" w:styleId="BodyTextChar">
    <w:name w:val="Body Text Char"/>
    <w:basedOn w:val="DefaultParagraphFont"/>
    <w:link w:val="BodyText"/>
    <w:rsid w:val="0085623E"/>
    <w:rPr>
      <w:rFonts w:ascii="Times New Roman" w:eastAsia="Times New Roman" w:hAnsi="Times New Roman" w:cs="Times New Roman"/>
      <w:sz w:val="24"/>
      <w:szCs w:val="24"/>
    </w:rPr>
  </w:style>
  <w:style w:type="paragraph" w:customStyle="1" w:styleId="Keyword">
    <w:name w:val="Keyword"/>
    <w:basedOn w:val="Normal"/>
    <w:rsid w:val="0085623E"/>
    <w:pPr>
      <w:spacing w:after="120"/>
      <w:ind w:left="475" w:right="475"/>
      <w:jc w:val="both"/>
    </w:pPr>
    <w:rPr>
      <w:sz w:val="20"/>
      <w:szCs w:val="20"/>
    </w:rPr>
  </w:style>
  <w:style w:type="paragraph" w:customStyle="1" w:styleId="DefinitionList">
    <w:name w:val="Definition List"/>
    <w:basedOn w:val="Normal"/>
    <w:next w:val="Normal"/>
    <w:rsid w:val="0085623E"/>
    <w:pPr>
      <w:widowControl w:val="0"/>
      <w:snapToGrid w:val="0"/>
      <w:ind w:left="360"/>
    </w:pPr>
    <w:rPr>
      <w:szCs w:val="20"/>
    </w:rPr>
  </w:style>
  <w:style w:type="character" w:styleId="HTMLCite">
    <w:name w:val="HTML Cite"/>
    <w:basedOn w:val="DefaultParagraphFont"/>
    <w:rsid w:val="0085623E"/>
    <w:rPr>
      <w:i w:val="0"/>
      <w:iCs w:val="0"/>
    </w:rPr>
  </w:style>
  <w:style w:type="character" w:customStyle="1" w:styleId="style81">
    <w:name w:val="style81"/>
    <w:basedOn w:val="DefaultParagraphFont"/>
    <w:rsid w:val="0085623E"/>
    <w:rPr>
      <w:rFonts w:ascii="Verdana" w:hAnsi="Verdana" w:hint="default"/>
      <w:sz w:val="18"/>
      <w:szCs w:val="18"/>
    </w:rPr>
  </w:style>
  <w:style w:type="character" w:customStyle="1" w:styleId="apple-style-span">
    <w:name w:val="apple-style-span"/>
    <w:basedOn w:val="DefaultParagraphFont"/>
    <w:rsid w:val="0085623E"/>
  </w:style>
  <w:style w:type="character" w:styleId="Strong">
    <w:name w:val="Strong"/>
    <w:basedOn w:val="DefaultParagraphFont"/>
    <w:qFormat/>
    <w:rsid w:val="0085623E"/>
    <w:rPr>
      <w:b/>
      <w:bCs/>
    </w:rPr>
  </w:style>
  <w:style w:type="paragraph" w:styleId="BalloonText">
    <w:name w:val="Balloon Text"/>
    <w:basedOn w:val="Normal"/>
    <w:link w:val="BalloonTextChar"/>
    <w:uiPriority w:val="99"/>
    <w:semiHidden/>
    <w:unhideWhenUsed/>
    <w:rsid w:val="00CF24F7"/>
    <w:rPr>
      <w:rFonts w:ascii="Tahoma" w:hAnsi="Tahoma" w:cs="Tahoma"/>
      <w:sz w:val="16"/>
      <w:szCs w:val="16"/>
    </w:rPr>
  </w:style>
  <w:style w:type="character" w:customStyle="1" w:styleId="BalloonTextChar">
    <w:name w:val="Balloon Text Char"/>
    <w:basedOn w:val="DefaultParagraphFont"/>
    <w:link w:val="BalloonText"/>
    <w:uiPriority w:val="99"/>
    <w:semiHidden/>
    <w:rsid w:val="00CF24F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Cit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5623E"/>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85623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85623E"/>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85623E"/>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85623E"/>
    <w:pPr>
      <w:keepNext/>
      <w:spacing w:before="40" w:after="40"/>
      <w:ind w:left="720"/>
      <w:outlineLvl w:val="5"/>
    </w:pPr>
    <w:rPr>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623E"/>
    <w:rPr>
      <w:rFonts w:ascii="Arial" w:eastAsia="Times New Roman" w:hAnsi="Arial" w:cs="Arial"/>
      <w:b/>
      <w:bCs/>
      <w:kern w:val="32"/>
      <w:sz w:val="32"/>
      <w:szCs w:val="32"/>
    </w:rPr>
  </w:style>
  <w:style w:type="character" w:customStyle="1" w:styleId="Heading2Char">
    <w:name w:val="Heading 2 Char"/>
    <w:basedOn w:val="DefaultParagraphFont"/>
    <w:link w:val="Heading2"/>
    <w:rsid w:val="008562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85623E"/>
    <w:rPr>
      <w:rFonts w:ascii="Arial" w:eastAsia="Times New Roman" w:hAnsi="Arial" w:cs="Arial"/>
      <w:b/>
      <w:bCs/>
      <w:sz w:val="26"/>
      <w:szCs w:val="26"/>
    </w:rPr>
  </w:style>
  <w:style w:type="character" w:customStyle="1" w:styleId="Heading4Char">
    <w:name w:val="Heading 4 Char"/>
    <w:basedOn w:val="DefaultParagraphFont"/>
    <w:link w:val="Heading4"/>
    <w:semiHidden/>
    <w:rsid w:val="0085623E"/>
    <w:rPr>
      <w:rFonts w:ascii="Calibri" w:eastAsia="Times New Roman" w:hAnsi="Calibri" w:cs="Times New Roman"/>
      <w:b/>
      <w:bCs/>
      <w:sz w:val="28"/>
      <w:szCs w:val="28"/>
    </w:rPr>
  </w:style>
  <w:style w:type="character" w:customStyle="1" w:styleId="Heading6Char">
    <w:name w:val="Heading 6 Char"/>
    <w:basedOn w:val="DefaultParagraphFont"/>
    <w:link w:val="Heading6"/>
    <w:rsid w:val="0085623E"/>
    <w:rPr>
      <w:rFonts w:ascii="Times New Roman" w:eastAsia="Times New Roman" w:hAnsi="Times New Roman" w:cs="Times New Roman"/>
      <w:u w:val="single"/>
    </w:rPr>
  </w:style>
  <w:style w:type="character" w:styleId="Hyperlink">
    <w:name w:val="Hyperlink"/>
    <w:basedOn w:val="DefaultParagraphFont"/>
    <w:rsid w:val="0085623E"/>
    <w:rPr>
      <w:color w:val="0000FF"/>
      <w:u w:val="single"/>
    </w:rPr>
  </w:style>
  <w:style w:type="character" w:styleId="Emphasis">
    <w:name w:val="Emphasis"/>
    <w:basedOn w:val="DefaultParagraphFont"/>
    <w:qFormat/>
    <w:rsid w:val="0085623E"/>
    <w:rPr>
      <w:i/>
      <w:iCs/>
    </w:rPr>
  </w:style>
  <w:style w:type="paragraph" w:styleId="NormalWeb">
    <w:name w:val="Normal (Web)"/>
    <w:basedOn w:val="Normal"/>
    <w:rsid w:val="0085623E"/>
    <w:pPr>
      <w:spacing w:before="100" w:beforeAutospacing="1" w:after="100" w:afterAutospacing="1"/>
    </w:pPr>
  </w:style>
  <w:style w:type="character" w:customStyle="1" w:styleId="mw-headline">
    <w:name w:val="mw-headline"/>
    <w:basedOn w:val="DefaultParagraphFont"/>
    <w:rsid w:val="0085623E"/>
  </w:style>
  <w:style w:type="paragraph" w:styleId="BodyTextIndent">
    <w:name w:val="Body Text Indent"/>
    <w:basedOn w:val="Normal"/>
    <w:link w:val="BodyTextIndentChar"/>
    <w:rsid w:val="0085623E"/>
    <w:pPr>
      <w:spacing w:before="40" w:after="40"/>
      <w:ind w:left="720"/>
    </w:pPr>
    <w:rPr>
      <w:rFonts w:ascii="Arial Narrow" w:hAnsi="Arial Narrow" w:cs="Arial"/>
      <w:b/>
      <w:iCs/>
      <w:sz w:val="22"/>
      <w:szCs w:val="22"/>
    </w:rPr>
  </w:style>
  <w:style w:type="character" w:customStyle="1" w:styleId="BodyTextIndentChar">
    <w:name w:val="Body Text Indent Char"/>
    <w:basedOn w:val="DefaultParagraphFont"/>
    <w:link w:val="BodyTextIndent"/>
    <w:rsid w:val="0085623E"/>
    <w:rPr>
      <w:rFonts w:ascii="Arial Narrow" w:eastAsia="Times New Roman" w:hAnsi="Arial Narrow" w:cs="Arial"/>
      <w:b/>
      <w:iCs/>
    </w:rPr>
  </w:style>
  <w:style w:type="character" w:customStyle="1" w:styleId="citation">
    <w:name w:val="citation"/>
    <w:basedOn w:val="DefaultParagraphFont"/>
    <w:rsid w:val="0085623E"/>
    <w:rPr>
      <w:i w:val="0"/>
      <w:iCs w:val="0"/>
    </w:rPr>
  </w:style>
  <w:style w:type="character" w:customStyle="1" w:styleId="z3988">
    <w:name w:val="z3988"/>
    <w:basedOn w:val="DefaultParagraphFont"/>
    <w:rsid w:val="0085623E"/>
  </w:style>
  <w:style w:type="character" w:customStyle="1" w:styleId="editsection">
    <w:name w:val="editsection"/>
    <w:basedOn w:val="DefaultParagraphFont"/>
    <w:rsid w:val="0085623E"/>
  </w:style>
  <w:style w:type="character" w:customStyle="1" w:styleId="printonly">
    <w:name w:val="printonly"/>
    <w:basedOn w:val="DefaultParagraphFont"/>
    <w:rsid w:val="0085623E"/>
  </w:style>
  <w:style w:type="character" w:customStyle="1" w:styleId="neverexpand">
    <w:name w:val="neverexpand"/>
    <w:basedOn w:val="DefaultParagraphFont"/>
    <w:rsid w:val="0085623E"/>
  </w:style>
  <w:style w:type="character" w:customStyle="1" w:styleId="citationweb">
    <w:name w:val="citation web"/>
    <w:basedOn w:val="DefaultParagraphFont"/>
    <w:rsid w:val="0085623E"/>
  </w:style>
  <w:style w:type="paragraph" w:styleId="BodyTextIndent2">
    <w:name w:val="Body Text Indent 2"/>
    <w:basedOn w:val="Normal"/>
    <w:link w:val="BodyTextIndent2Char"/>
    <w:rsid w:val="0085623E"/>
    <w:pPr>
      <w:spacing w:before="100" w:beforeAutospacing="1" w:after="100" w:afterAutospacing="1"/>
      <w:ind w:left="900"/>
    </w:pPr>
    <w:rPr>
      <w:sz w:val="18"/>
      <w:szCs w:val="18"/>
    </w:rPr>
  </w:style>
  <w:style w:type="character" w:customStyle="1" w:styleId="BodyTextIndent2Char">
    <w:name w:val="Body Text Indent 2 Char"/>
    <w:basedOn w:val="DefaultParagraphFont"/>
    <w:link w:val="BodyTextIndent2"/>
    <w:rsid w:val="0085623E"/>
    <w:rPr>
      <w:rFonts w:ascii="Times New Roman" w:eastAsia="Times New Roman" w:hAnsi="Times New Roman" w:cs="Times New Roman"/>
      <w:sz w:val="18"/>
      <w:szCs w:val="18"/>
    </w:rPr>
  </w:style>
  <w:style w:type="paragraph" w:styleId="BodyTextIndent3">
    <w:name w:val="Body Text Indent 3"/>
    <w:basedOn w:val="Normal"/>
    <w:link w:val="BodyTextIndent3Char"/>
    <w:rsid w:val="0085623E"/>
    <w:pPr>
      <w:spacing w:before="100" w:beforeAutospacing="1" w:after="100" w:afterAutospacing="1"/>
      <w:ind w:left="900"/>
      <w:jc w:val="both"/>
    </w:pPr>
    <w:rPr>
      <w:sz w:val="18"/>
      <w:szCs w:val="18"/>
    </w:rPr>
  </w:style>
  <w:style w:type="character" w:customStyle="1" w:styleId="BodyTextIndent3Char">
    <w:name w:val="Body Text Indent 3 Char"/>
    <w:basedOn w:val="DefaultParagraphFont"/>
    <w:link w:val="BodyTextIndent3"/>
    <w:rsid w:val="0085623E"/>
    <w:rPr>
      <w:rFonts w:ascii="Times New Roman" w:eastAsia="Times New Roman" w:hAnsi="Times New Roman" w:cs="Times New Roman"/>
      <w:sz w:val="18"/>
      <w:szCs w:val="18"/>
    </w:rPr>
  </w:style>
  <w:style w:type="paragraph" w:styleId="Footer">
    <w:name w:val="footer"/>
    <w:basedOn w:val="Normal"/>
    <w:link w:val="FooterChar"/>
    <w:rsid w:val="0085623E"/>
    <w:pPr>
      <w:tabs>
        <w:tab w:val="center" w:pos="4320"/>
        <w:tab w:val="right" w:pos="8640"/>
      </w:tabs>
    </w:pPr>
  </w:style>
  <w:style w:type="character" w:customStyle="1" w:styleId="FooterChar">
    <w:name w:val="Footer Char"/>
    <w:basedOn w:val="DefaultParagraphFont"/>
    <w:link w:val="Footer"/>
    <w:rsid w:val="0085623E"/>
    <w:rPr>
      <w:rFonts w:ascii="Times New Roman" w:eastAsia="Times New Roman" w:hAnsi="Times New Roman" w:cs="Times New Roman"/>
      <w:sz w:val="24"/>
      <w:szCs w:val="24"/>
    </w:rPr>
  </w:style>
  <w:style w:type="character" w:styleId="PageNumber">
    <w:name w:val="page number"/>
    <w:basedOn w:val="DefaultParagraphFont"/>
    <w:rsid w:val="0085623E"/>
  </w:style>
  <w:style w:type="paragraph" w:customStyle="1" w:styleId="Default">
    <w:name w:val="Default"/>
    <w:rsid w:val="0085623E"/>
    <w:pPr>
      <w:autoSpaceDE w:val="0"/>
      <w:autoSpaceDN w:val="0"/>
      <w:adjustRightInd w:val="0"/>
      <w:spacing w:after="0" w:line="240" w:lineRule="auto"/>
    </w:pPr>
    <w:rPr>
      <w:rFonts w:ascii="Meta Plus Normal" w:eastAsia="Times New Roman" w:hAnsi="Meta Plus Normal" w:cs="Meta Plus Normal"/>
      <w:color w:val="000000"/>
      <w:sz w:val="24"/>
      <w:szCs w:val="24"/>
    </w:rPr>
  </w:style>
  <w:style w:type="paragraph" w:customStyle="1" w:styleId="text">
    <w:name w:val="text"/>
    <w:basedOn w:val="Normal"/>
    <w:rsid w:val="0085623E"/>
    <w:pPr>
      <w:spacing w:before="100" w:beforeAutospacing="1" w:after="100" w:afterAutospacing="1"/>
    </w:pPr>
    <w:rPr>
      <w:color w:val="333333"/>
      <w:sz w:val="30"/>
      <w:szCs w:val="30"/>
    </w:rPr>
  </w:style>
  <w:style w:type="paragraph" w:styleId="ListParagraph">
    <w:name w:val="List Paragraph"/>
    <w:basedOn w:val="Normal"/>
    <w:uiPriority w:val="34"/>
    <w:qFormat/>
    <w:rsid w:val="0085623E"/>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85623E"/>
    <w:pPr>
      <w:spacing w:after="120"/>
    </w:pPr>
  </w:style>
  <w:style w:type="character" w:customStyle="1" w:styleId="BodyTextChar">
    <w:name w:val="Body Text Char"/>
    <w:basedOn w:val="DefaultParagraphFont"/>
    <w:link w:val="BodyText"/>
    <w:rsid w:val="0085623E"/>
    <w:rPr>
      <w:rFonts w:ascii="Times New Roman" w:eastAsia="Times New Roman" w:hAnsi="Times New Roman" w:cs="Times New Roman"/>
      <w:sz w:val="24"/>
      <w:szCs w:val="24"/>
    </w:rPr>
  </w:style>
  <w:style w:type="paragraph" w:customStyle="1" w:styleId="Keyword">
    <w:name w:val="Keyword"/>
    <w:basedOn w:val="Normal"/>
    <w:rsid w:val="0085623E"/>
    <w:pPr>
      <w:spacing w:after="120"/>
      <w:ind w:left="475" w:right="475"/>
      <w:jc w:val="both"/>
    </w:pPr>
    <w:rPr>
      <w:sz w:val="20"/>
      <w:szCs w:val="20"/>
    </w:rPr>
  </w:style>
  <w:style w:type="paragraph" w:customStyle="1" w:styleId="DefinitionList">
    <w:name w:val="Definition List"/>
    <w:basedOn w:val="Normal"/>
    <w:next w:val="Normal"/>
    <w:rsid w:val="0085623E"/>
    <w:pPr>
      <w:widowControl w:val="0"/>
      <w:snapToGrid w:val="0"/>
      <w:ind w:left="360"/>
    </w:pPr>
    <w:rPr>
      <w:szCs w:val="20"/>
    </w:rPr>
  </w:style>
  <w:style w:type="character" w:styleId="HTMLCite">
    <w:name w:val="HTML Cite"/>
    <w:basedOn w:val="DefaultParagraphFont"/>
    <w:rsid w:val="0085623E"/>
    <w:rPr>
      <w:i w:val="0"/>
      <w:iCs w:val="0"/>
    </w:rPr>
  </w:style>
  <w:style w:type="character" w:customStyle="1" w:styleId="style81">
    <w:name w:val="style81"/>
    <w:basedOn w:val="DefaultParagraphFont"/>
    <w:rsid w:val="0085623E"/>
    <w:rPr>
      <w:rFonts w:ascii="Verdana" w:hAnsi="Verdana" w:hint="default"/>
      <w:sz w:val="18"/>
      <w:szCs w:val="18"/>
    </w:rPr>
  </w:style>
  <w:style w:type="character" w:customStyle="1" w:styleId="apple-style-span">
    <w:name w:val="apple-style-span"/>
    <w:basedOn w:val="DefaultParagraphFont"/>
    <w:rsid w:val="0085623E"/>
  </w:style>
  <w:style w:type="character" w:styleId="Strong">
    <w:name w:val="Strong"/>
    <w:basedOn w:val="DefaultParagraphFont"/>
    <w:qFormat/>
    <w:rsid w:val="0085623E"/>
    <w:rPr>
      <w:b/>
      <w:bCs/>
    </w:rPr>
  </w:style>
  <w:style w:type="paragraph" w:styleId="BalloonText">
    <w:name w:val="Balloon Text"/>
    <w:basedOn w:val="Normal"/>
    <w:link w:val="BalloonTextChar"/>
    <w:uiPriority w:val="99"/>
    <w:semiHidden/>
    <w:unhideWhenUsed/>
    <w:rsid w:val="00CF24F7"/>
    <w:rPr>
      <w:rFonts w:ascii="Tahoma" w:hAnsi="Tahoma" w:cs="Tahoma"/>
      <w:sz w:val="16"/>
      <w:szCs w:val="16"/>
    </w:rPr>
  </w:style>
  <w:style w:type="character" w:customStyle="1" w:styleId="BalloonTextChar">
    <w:name w:val="Balloon Text Char"/>
    <w:basedOn w:val="DefaultParagraphFont"/>
    <w:link w:val="BalloonText"/>
    <w:uiPriority w:val="99"/>
    <w:semiHidden/>
    <w:rsid w:val="00CF24F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microsoft.com/office/2007/relationships/stylesWithEffects" Target="stylesWithEffects.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plotArea>
      <c:layout>
        <c:manualLayout>
          <c:layoutTarget val="inner"/>
          <c:xMode val="edge"/>
          <c:yMode val="edge"/>
          <c:x val="0.11568130653600642"/>
          <c:y val="0.10029527417287225"/>
          <c:w val="0.78406218874404277"/>
          <c:h val="0.68731761418468362"/>
        </c:manualLayout>
      </c:layout>
      <c:barChart>
        <c:barDir val="col"/>
        <c:grouping val="clustered"/>
        <c:ser>
          <c:idx val="1"/>
          <c:order val="0"/>
          <c:tx>
            <c:strRef>
              <c:f>Sheet1!$B$1</c:f>
              <c:strCache>
                <c:ptCount val="1"/>
                <c:pt idx="0">
                  <c:v>SSN</c:v>
                </c:pt>
              </c:strCache>
            </c:strRef>
          </c:tx>
          <c:cat>
            <c:numRef>
              <c:f>Sheet1!$A$1:$A$313</c:f>
              <c:numCache>
                <c:formatCode>General</c:formatCode>
                <c:ptCount val="313"/>
                <c:pt idx="1">
                  <c:v>1700</c:v>
                </c:pt>
                <c:pt idx="2">
                  <c:v>1701</c:v>
                </c:pt>
                <c:pt idx="3">
                  <c:v>1702</c:v>
                </c:pt>
                <c:pt idx="4">
                  <c:v>1703</c:v>
                </c:pt>
                <c:pt idx="5">
                  <c:v>1704</c:v>
                </c:pt>
                <c:pt idx="6">
                  <c:v>1705</c:v>
                </c:pt>
                <c:pt idx="7">
                  <c:v>1706</c:v>
                </c:pt>
                <c:pt idx="8">
                  <c:v>1707</c:v>
                </c:pt>
                <c:pt idx="9">
                  <c:v>1708</c:v>
                </c:pt>
                <c:pt idx="10">
                  <c:v>1709</c:v>
                </c:pt>
                <c:pt idx="11">
                  <c:v>1710</c:v>
                </c:pt>
                <c:pt idx="12">
                  <c:v>1711</c:v>
                </c:pt>
                <c:pt idx="13">
                  <c:v>1712</c:v>
                </c:pt>
                <c:pt idx="14">
                  <c:v>1713</c:v>
                </c:pt>
                <c:pt idx="15">
                  <c:v>1714</c:v>
                </c:pt>
                <c:pt idx="16">
                  <c:v>1715</c:v>
                </c:pt>
                <c:pt idx="17">
                  <c:v>1716</c:v>
                </c:pt>
                <c:pt idx="18">
                  <c:v>1717</c:v>
                </c:pt>
                <c:pt idx="19">
                  <c:v>1718</c:v>
                </c:pt>
                <c:pt idx="20">
                  <c:v>1719</c:v>
                </c:pt>
                <c:pt idx="21">
                  <c:v>1720</c:v>
                </c:pt>
                <c:pt idx="22">
                  <c:v>1721</c:v>
                </c:pt>
                <c:pt idx="23">
                  <c:v>1722</c:v>
                </c:pt>
                <c:pt idx="24">
                  <c:v>1723</c:v>
                </c:pt>
                <c:pt idx="25">
                  <c:v>1724</c:v>
                </c:pt>
                <c:pt idx="26">
                  <c:v>1725</c:v>
                </c:pt>
                <c:pt idx="27">
                  <c:v>1726</c:v>
                </c:pt>
                <c:pt idx="28">
                  <c:v>1727</c:v>
                </c:pt>
                <c:pt idx="29">
                  <c:v>1728</c:v>
                </c:pt>
                <c:pt idx="30">
                  <c:v>1729</c:v>
                </c:pt>
                <c:pt idx="31">
                  <c:v>1730</c:v>
                </c:pt>
                <c:pt idx="32">
                  <c:v>1731</c:v>
                </c:pt>
                <c:pt idx="33">
                  <c:v>1732</c:v>
                </c:pt>
                <c:pt idx="34">
                  <c:v>1733</c:v>
                </c:pt>
                <c:pt idx="35">
                  <c:v>1734</c:v>
                </c:pt>
                <c:pt idx="36">
                  <c:v>1735</c:v>
                </c:pt>
                <c:pt idx="37">
                  <c:v>1736</c:v>
                </c:pt>
                <c:pt idx="38">
                  <c:v>1737</c:v>
                </c:pt>
                <c:pt idx="39">
                  <c:v>1738</c:v>
                </c:pt>
                <c:pt idx="40">
                  <c:v>1739</c:v>
                </c:pt>
                <c:pt idx="41">
                  <c:v>1740</c:v>
                </c:pt>
                <c:pt idx="42">
                  <c:v>1741</c:v>
                </c:pt>
                <c:pt idx="43">
                  <c:v>1742</c:v>
                </c:pt>
                <c:pt idx="44">
                  <c:v>1743</c:v>
                </c:pt>
                <c:pt idx="45">
                  <c:v>1744</c:v>
                </c:pt>
                <c:pt idx="46">
                  <c:v>1745</c:v>
                </c:pt>
                <c:pt idx="47">
                  <c:v>1746</c:v>
                </c:pt>
                <c:pt idx="48">
                  <c:v>1747</c:v>
                </c:pt>
                <c:pt idx="49">
                  <c:v>1748</c:v>
                </c:pt>
                <c:pt idx="50">
                  <c:v>1749</c:v>
                </c:pt>
                <c:pt idx="51">
                  <c:v>1750</c:v>
                </c:pt>
                <c:pt idx="52">
                  <c:v>1751</c:v>
                </c:pt>
                <c:pt idx="53">
                  <c:v>1752</c:v>
                </c:pt>
                <c:pt idx="54">
                  <c:v>1753</c:v>
                </c:pt>
                <c:pt idx="55">
                  <c:v>1754</c:v>
                </c:pt>
                <c:pt idx="56">
                  <c:v>1755</c:v>
                </c:pt>
                <c:pt idx="57">
                  <c:v>1756</c:v>
                </c:pt>
                <c:pt idx="58">
                  <c:v>1757</c:v>
                </c:pt>
                <c:pt idx="59">
                  <c:v>1758</c:v>
                </c:pt>
                <c:pt idx="60">
                  <c:v>1759</c:v>
                </c:pt>
                <c:pt idx="61">
                  <c:v>1760</c:v>
                </c:pt>
                <c:pt idx="62">
                  <c:v>1761</c:v>
                </c:pt>
                <c:pt idx="63">
                  <c:v>1762</c:v>
                </c:pt>
                <c:pt idx="64">
                  <c:v>1763</c:v>
                </c:pt>
                <c:pt idx="65">
                  <c:v>1764</c:v>
                </c:pt>
                <c:pt idx="66">
                  <c:v>1765</c:v>
                </c:pt>
                <c:pt idx="67">
                  <c:v>1766</c:v>
                </c:pt>
                <c:pt idx="68">
                  <c:v>1767</c:v>
                </c:pt>
                <c:pt idx="69">
                  <c:v>1768</c:v>
                </c:pt>
                <c:pt idx="70">
                  <c:v>1769</c:v>
                </c:pt>
                <c:pt idx="71">
                  <c:v>1770</c:v>
                </c:pt>
                <c:pt idx="72">
                  <c:v>1771</c:v>
                </c:pt>
                <c:pt idx="73">
                  <c:v>1772</c:v>
                </c:pt>
                <c:pt idx="74">
                  <c:v>1773</c:v>
                </c:pt>
                <c:pt idx="75">
                  <c:v>1774</c:v>
                </c:pt>
                <c:pt idx="76">
                  <c:v>1775</c:v>
                </c:pt>
                <c:pt idx="77">
                  <c:v>1776</c:v>
                </c:pt>
                <c:pt idx="78">
                  <c:v>1777</c:v>
                </c:pt>
                <c:pt idx="79">
                  <c:v>1778</c:v>
                </c:pt>
                <c:pt idx="80">
                  <c:v>1779</c:v>
                </c:pt>
                <c:pt idx="81">
                  <c:v>1780</c:v>
                </c:pt>
                <c:pt idx="82">
                  <c:v>1781</c:v>
                </c:pt>
                <c:pt idx="83">
                  <c:v>1782</c:v>
                </c:pt>
                <c:pt idx="84">
                  <c:v>1783</c:v>
                </c:pt>
                <c:pt idx="85">
                  <c:v>1784</c:v>
                </c:pt>
                <c:pt idx="86">
                  <c:v>1785</c:v>
                </c:pt>
                <c:pt idx="87">
                  <c:v>1786</c:v>
                </c:pt>
                <c:pt idx="88">
                  <c:v>1787</c:v>
                </c:pt>
                <c:pt idx="89">
                  <c:v>1788</c:v>
                </c:pt>
                <c:pt idx="90">
                  <c:v>1789</c:v>
                </c:pt>
                <c:pt idx="91">
                  <c:v>1790</c:v>
                </c:pt>
                <c:pt idx="92">
                  <c:v>1791</c:v>
                </c:pt>
                <c:pt idx="93">
                  <c:v>1792</c:v>
                </c:pt>
                <c:pt idx="94">
                  <c:v>1793</c:v>
                </c:pt>
                <c:pt idx="95">
                  <c:v>1794</c:v>
                </c:pt>
                <c:pt idx="96">
                  <c:v>1795</c:v>
                </c:pt>
                <c:pt idx="97">
                  <c:v>1796</c:v>
                </c:pt>
                <c:pt idx="98">
                  <c:v>1797</c:v>
                </c:pt>
                <c:pt idx="99">
                  <c:v>1798</c:v>
                </c:pt>
                <c:pt idx="100">
                  <c:v>1799</c:v>
                </c:pt>
                <c:pt idx="101">
                  <c:v>1800</c:v>
                </c:pt>
                <c:pt idx="102">
                  <c:v>1801</c:v>
                </c:pt>
                <c:pt idx="103">
                  <c:v>1802</c:v>
                </c:pt>
                <c:pt idx="104">
                  <c:v>1803</c:v>
                </c:pt>
                <c:pt idx="105">
                  <c:v>1804</c:v>
                </c:pt>
                <c:pt idx="106">
                  <c:v>1805</c:v>
                </c:pt>
                <c:pt idx="107">
                  <c:v>1806</c:v>
                </c:pt>
                <c:pt idx="108">
                  <c:v>1807</c:v>
                </c:pt>
                <c:pt idx="109">
                  <c:v>1808</c:v>
                </c:pt>
                <c:pt idx="110">
                  <c:v>1809</c:v>
                </c:pt>
                <c:pt idx="111">
                  <c:v>1810</c:v>
                </c:pt>
                <c:pt idx="112">
                  <c:v>1811</c:v>
                </c:pt>
                <c:pt idx="113">
                  <c:v>1812</c:v>
                </c:pt>
                <c:pt idx="114">
                  <c:v>1813</c:v>
                </c:pt>
                <c:pt idx="115">
                  <c:v>1814</c:v>
                </c:pt>
                <c:pt idx="116">
                  <c:v>1815</c:v>
                </c:pt>
                <c:pt idx="117">
                  <c:v>1816</c:v>
                </c:pt>
                <c:pt idx="118">
                  <c:v>1817</c:v>
                </c:pt>
                <c:pt idx="119">
                  <c:v>1818</c:v>
                </c:pt>
                <c:pt idx="120">
                  <c:v>1819</c:v>
                </c:pt>
                <c:pt idx="121">
                  <c:v>1820</c:v>
                </c:pt>
                <c:pt idx="122">
                  <c:v>1821</c:v>
                </c:pt>
                <c:pt idx="123">
                  <c:v>1822</c:v>
                </c:pt>
                <c:pt idx="124">
                  <c:v>1823</c:v>
                </c:pt>
                <c:pt idx="125">
                  <c:v>1824</c:v>
                </c:pt>
                <c:pt idx="126">
                  <c:v>1825</c:v>
                </c:pt>
                <c:pt idx="127">
                  <c:v>1826</c:v>
                </c:pt>
                <c:pt idx="128">
                  <c:v>1827</c:v>
                </c:pt>
                <c:pt idx="129">
                  <c:v>1828</c:v>
                </c:pt>
                <c:pt idx="130">
                  <c:v>1829</c:v>
                </c:pt>
                <c:pt idx="131">
                  <c:v>1830</c:v>
                </c:pt>
                <c:pt idx="132">
                  <c:v>1831</c:v>
                </c:pt>
                <c:pt idx="133">
                  <c:v>1832</c:v>
                </c:pt>
                <c:pt idx="134">
                  <c:v>1833</c:v>
                </c:pt>
                <c:pt idx="135">
                  <c:v>1834</c:v>
                </c:pt>
                <c:pt idx="136">
                  <c:v>1835</c:v>
                </c:pt>
                <c:pt idx="137">
                  <c:v>1836</c:v>
                </c:pt>
                <c:pt idx="138">
                  <c:v>1837</c:v>
                </c:pt>
                <c:pt idx="139">
                  <c:v>1838</c:v>
                </c:pt>
                <c:pt idx="140">
                  <c:v>1839</c:v>
                </c:pt>
                <c:pt idx="141">
                  <c:v>1840</c:v>
                </c:pt>
                <c:pt idx="142">
                  <c:v>1841</c:v>
                </c:pt>
                <c:pt idx="143">
                  <c:v>1842</c:v>
                </c:pt>
                <c:pt idx="144">
                  <c:v>1843</c:v>
                </c:pt>
                <c:pt idx="145">
                  <c:v>1844</c:v>
                </c:pt>
                <c:pt idx="146">
                  <c:v>1845</c:v>
                </c:pt>
                <c:pt idx="147">
                  <c:v>1846</c:v>
                </c:pt>
                <c:pt idx="148">
                  <c:v>1847</c:v>
                </c:pt>
                <c:pt idx="149">
                  <c:v>1848</c:v>
                </c:pt>
                <c:pt idx="150">
                  <c:v>1849</c:v>
                </c:pt>
                <c:pt idx="151">
                  <c:v>1850</c:v>
                </c:pt>
                <c:pt idx="152">
                  <c:v>1851</c:v>
                </c:pt>
                <c:pt idx="153">
                  <c:v>1852</c:v>
                </c:pt>
                <c:pt idx="154">
                  <c:v>1853</c:v>
                </c:pt>
                <c:pt idx="155">
                  <c:v>1854</c:v>
                </c:pt>
                <c:pt idx="156">
                  <c:v>1855</c:v>
                </c:pt>
                <c:pt idx="157">
                  <c:v>1856</c:v>
                </c:pt>
                <c:pt idx="158">
                  <c:v>1857</c:v>
                </c:pt>
                <c:pt idx="159">
                  <c:v>1858</c:v>
                </c:pt>
                <c:pt idx="160">
                  <c:v>1859</c:v>
                </c:pt>
                <c:pt idx="161">
                  <c:v>1860</c:v>
                </c:pt>
                <c:pt idx="162">
                  <c:v>1861</c:v>
                </c:pt>
                <c:pt idx="163">
                  <c:v>1862</c:v>
                </c:pt>
                <c:pt idx="164">
                  <c:v>1863</c:v>
                </c:pt>
                <c:pt idx="165">
                  <c:v>1864</c:v>
                </c:pt>
                <c:pt idx="166">
                  <c:v>1865</c:v>
                </c:pt>
                <c:pt idx="167">
                  <c:v>1866</c:v>
                </c:pt>
                <c:pt idx="168">
                  <c:v>1867</c:v>
                </c:pt>
                <c:pt idx="169">
                  <c:v>1868</c:v>
                </c:pt>
                <c:pt idx="170">
                  <c:v>1869</c:v>
                </c:pt>
                <c:pt idx="171">
                  <c:v>1870</c:v>
                </c:pt>
                <c:pt idx="172">
                  <c:v>1871</c:v>
                </c:pt>
                <c:pt idx="173">
                  <c:v>1872</c:v>
                </c:pt>
                <c:pt idx="174">
                  <c:v>1873</c:v>
                </c:pt>
                <c:pt idx="175">
                  <c:v>1874</c:v>
                </c:pt>
                <c:pt idx="176">
                  <c:v>1875</c:v>
                </c:pt>
                <c:pt idx="177">
                  <c:v>1876</c:v>
                </c:pt>
                <c:pt idx="178">
                  <c:v>1877</c:v>
                </c:pt>
                <c:pt idx="179">
                  <c:v>1878</c:v>
                </c:pt>
                <c:pt idx="180">
                  <c:v>1879</c:v>
                </c:pt>
                <c:pt idx="181">
                  <c:v>1880</c:v>
                </c:pt>
                <c:pt idx="182">
                  <c:v>1881</c:v>
                </c:pt>
                <c:pt idx="183">
                  <c:v>1882</c:v>
                </c:pt>
                <c:pt idx="184">
                  <c:v>1883</c:v>
                </c:pt>
                <c:pt idx="185">
                  <c:v>1884</c:v>
                </c:pt>
                <c:pt idx="186">
                  <c:v>1885</c:v>
                </c:pt>
                <c:pt idx="187">
                  <c:v>1886</c:v>
                </c:pt>
                <c:pt idx="188">
                  <c:v>1887</c:v>
                </c:pt>
                <c:pt idx="189">
                  <c:v>1888</c:v>
                </c:pt>
                <c:pt idx="190">
                  <c:v>1889</c:v>
                </c:pt>
                <c:pt idx="191">
                  <c:v>1890</c:v>
                </c:pt>
                <c:pt idx="192">
                  <c:v>1891</c:v>
                </c:pt>
                <c:pt idx="193">
                  <c:v>1892</c:v>
                </c:pt>
                <c:pt idx="194">
                  <c:v>1893</c:v>
                </c:pt>
                <c:pt idx="195">
                  <c:v>1894</c:v>
                </c:pt>
                <c:pt idx="196">
                  <c:v>1895</c:v>
                </c:pt>
                <c:pt idx="197">
                  <c:v>1896</c:v>
                </c:pt>
                <c:pt idx="198">
                  <c:v>1897</c:v>
                </c:pt>
                <c:pt idx="199">
                  <c:v>1898</c:v>
                </c:pt>
                <c:pt idx="200">
                  <c:v>1899</c:v>
                </c:pt>
                <c:pt idx="201">
                  <c:v>1900</c:v>
                </c:pt>
                <c:pt idx="202">
                  <c:v>1901</c:v>
                </c:pt>
                <c:pt idx="203">
                  <c:v>1902</c:v>
                </c:pt>
                <c:pt idx="204">
                  <c:v>1903</c:v>
                </c:pt>
                <c:pt idx="205">
                  <c:v>1904</c:v>
                </c:pt>
                <c:pt idx="206">
                  <c:v>1905</c:v>
                </c:pt>
                <c:pt idx="207">
                  <c:v>1906</c:v>
                </c:pt>
                <c:pt idx="208">
                  <c:v>1907</c:v>
                </c:pt>
                <c:pt idx="209">
                  <c:v>1908</c:v>
                </c:pt>
                <c:pt idx="210">
                  <c:v>1909</c:v>
                </c:pt>
                <c:pt idx="211">
                  <c:v>1910</c:v>
                </c:pt>
                <c:pt idx="212">
                  <c:v>1911</c:v>
                </c:pt>
                <c:pt idx="213">
                  <c:v>1912</c:v>
                </c:pt>
                <c:pt idx="214">
                  <c:v>1913</c:v>
                </c:pt>
                <c:pt idx="215">
                  <c:v>1914</c:v>
                </c:pt>
                <c:pt idx="216">
                  <c:v>1915</c:v>
                </c:pt>
                <c:pt idx="217">
                  <c:v>1916</c:v>
                </c:pt>
                <c:pt idx="218">
                  <c:v>1917</c:v>
                </c:pt>
                <c:pt idx="219">
                  <c:v>1918</c:v>
                </c:pt>
                <c:pt idx="220">
                  <c:v>1919</c:v>
                </c:pt>
                <c:pt idx="221">
                  <c:v>1920</c:v>
                </c:pt>
                <c:pt idx="222">
                  <c:v>1921</c:v>
                </c:pt>
                <c:pt idx="223">
                  <c:v>1922</c:v>
                </c:pt>
                <c:pt idx="224">
                  <c:v>1923</c:v>
                </c:pt>
                <c:pt idx="225">
                  <c:v>1924</c:v>
                </c:pt>
                <c:pt idx="226">
                  <c:v>1925</c:v>
                </c:pt>
                <c:pt idx="227">
                  <c:v>1926</c:v>
                </c:pt>
                <c:pt idx="228">
                  <c:v>1927</c:v>
                </c:pt>
                <c:pt idx="229">
                  <c:v>1928</c:v>
                </c:pt>
                <c:pt idx="230">
                  <c:v>1929</c:v>
                </c:pt>
                <c:pt idx="231">
                  <c:v>1930</c:v>
                </c:pt>
                <c:pt idx="232">
                  <c:v>1931</c:v>
                </c:pt>
                <c:pt idx="233">
                  <c:v>1932</c:v>
                </c:pt>
                <c:pt idx="234">
                  <c:v>1933</c:v>
                </c:pt>
                <c:pt idx="235">
                  <c:v>1934</c:v>
                </c:pt>
                <c:pt idx="236">
                  <c:v>1935</c:v>
                </c:pt>
                <c:pt idx="237">
                  <c:v>1936</c:v>
                </c:pt>
                <c:pt idx="238">
                  <c:v>1937</c:v>
                </c:pt>
                <c:pt idx="239">
                  <c:v>1938</c:v>
                </c:pt>
                <c:pt idx="240">
                  <c:v>1939</c:v>
                </c:pt>
                <c:pt idx="241">
                  <c:v>1940</c:v>
                </c:pt>
                <c:pt idx="242">
                  <c:v>1941</c:v>
                </c:pt>
                <c:pt idx="243">
                  <c:v>1942</c:v>
                </c:pt>
                <c:pt idx="244">
                  <c:v>1943</c:v>
                </c:pt>
                <c:pt idx="245">
                  <c:v>1944</c:v>
                </c:pt>
                <c:pt idx="246">
                  <c:v>1945</c:v>
                </c:pt>
                <c:pt idx="247">
                  <c:v>1946</c:v>
                </c:pt>
                <c:pt idx="248">
                  <c:v>1947</c:v>
                </c:pt>
                <c:pt idx="249">
                  <c:v>1948</c:v>
                </c:pt>
                <c:pt idx="250">
                  <c:v>1949</c:v>
                </c:pt>
                <c:pt idx="251">
                  <c:v>1950</c:v>
                </c:pt>
                <c:pt idx="252">
                  <c:v>1951</c:v>
                </c:pt>
                <c:pt idx="253">
                  <c:v>1952</c:v>
                </c:pt>
                <c:pt idx="254">
                  <c:v>1953</c:v>
                </c:pt>
                <c:pt idx="255">
                  <c:v>1954</c:v>
                </c:pt>
                <c:pt idx="256">
                  <c:v>1955</c:v>
                </c:pt>
                <c:pt idx="257">
                  <c:v>1956</c:v>
                </c:pt>
                <c:pt idx="258">
                  <c:v>1957</c:v>
                </c:pt>
                <c:pt idx="259">
                  <c:v>1958</c:v>
                </c:pt>
                <c:pt idx="260">
                  <c:v>1959</c:v>
                </c:pt>
                <c:pt idx="261">
                  <c:v>1960</c:v>
                </c:pt>
                <c:pt idx="262">
                  <c:v>1961</c:v>
                </c:pt>
                <c:pt idx="263">
                  <c:v>1962</c:v>
                </c:pt>
                <c:pt idx="264">
                  <c:v>1963</c:v>
                </c:pt>
                <c:pt idx="265">
                  <c:v>1964</c:v>
                </c:pt>
                <c:pt idx="266">
                  <c:v>1965</c:v>
                </c:pt>
                <c:pt idx="267">
                  <c:v>1966</c:v>
                </c:pt>
                <c:pt idx="268">
                  <c:v>1967</c:v>
                </c:pt>
                <c:pt idx="269">
                  <c:v>1968</c:v>
                </c:pt>
                <c:pt idx="270">
                  <c:v>1969</c:v>
                </c:pt>
                <c:pt idx="271">
                  <c:v>1970</c:v>
                </c:pt>
                <c:pt idx="272">
                  <c:v>1971</c:v>
                </c:pt>
                <c:pt idx="273">
                  <c:v>1972</c:v>
                </c:pt>
                <c:pt idx="274">
                  <c:v>1973</c:v>
                </c:pt>
                <c:pt idx="275">
                  <c:v>1974</c:v>
                </c:pt>
                <c:pt idx="276">
                  <c:v>1975</c:v>
                </c:pt>
                <c:pt idx="277">
                  <c:v>1976</c:v>
                </c:pt>
                <c:pt idx="278">
                  <c:v>1977</c:v>
                </c:pt>
                <c:pt idx="279">
                  <c:v>1978</c:v>
                </c:pt>
                <c:pt idx="280">
                  <c:v>1979</c:v>
                </c:pt>
                <c:pt idx="281">
                  <c:v>1980</c:v>
                </c:pt>
                <c:pt idx="282">
                  <c:v>1981</c:v>
                </c:pt>
                <c:pt idx="283">
                  <c:v>1982</c:v>
                </c:pt>
                <c:pt idx="284">
                  <c:v>1983</c:v>
                </c:pt>
                <c:pt idx="285">
                  <c:v>1984</c:v>
                </c:pt>
                <c:pt idx="286">
                  <c:v>1985</c:v>
                </c:pt>
                <c:pt idx="287">
                  <c:v>1986</c:v>
                </c:pt>
                <c:pt idx="288">
                  <c:v>1987</c:v>
                </c:pt>
                <c:pt idx="289">
                  <c:v>1988</c:v>
                </c:pt>
                <c:pt idx="290">
                  <c:v>1989</c:v>
                </c:pt>
                <c:pt idx="291">
                  <c:v>1990</c:v>
                </c:pt>
                <c:pt idx="292">
                  <c:v>1991</c:v>
                </c:pt>
                <c:pt idx="293">
                  <c:v>1992</c:v>
                </c:pt>
                <c:pt idx="294">
                  <c:v>1993</c:v>
                </c:pt>
                <c:pt idx="295">
                  <c:v>1994</c:v>
                </c:pt>
                <c:pt idx="296">
                  <c:v>1995</c:v>
                </c:pt>
                <c:pt idx="297">
                  <c:v>1996</c:v>
                </c:pt>
                <c:pt idx="298">
                  <c:v>1997</c:v>
                </c:pt>
                <c:pt idx="299">
                  <c:v>1998</c:v>
                </c:pt>
                <c:pt idx="300">
                  <c:v>1999</c:v>
                </c:pt>
                <c:pt idx="301">
                  <c:v>2000</c:v>
                </c:pt>
                <c:pt idx="302">
                  <c:v>2001</c:v>
                </c:pt>
                <c:pt idx="303">
                  <c:v>2002</c:v>
                </c:pt>
                <c:pt idx="304">
                  <c:v>2003</c:v>
                </c:pt>
                <c:pt idx="305">
                  <c:v>2004</c:v>
                </c:pt>
                <c:pt idx="306">
                  <c:v>2005</c:v>
                </c:pt>
                <c:pt idx="307">
                  <c:v>2006</c:v>
                </c:pt>
                <c:pt idx="308">
                  <c:v>2007</c:v>
                </c:pt>
                <c:pt idx="309">
                  <c:v>2008</c:v>
                </c:pt>
                <c:pt idx="310">
                  <c:v>2009</c:v>
                </c:pt>
                <c:pt idx="311">
                  <c:v>2010</c:v>
                </c:pt>
                <c:pt idx="312">
                  <c:v>2011</c:v>
                </c:pt>
              </c:numCache>
            </c:numRef>
          </c:cat>
          <c:val>
            <c:numRef>
              <c:f>Sheet1!$B$1:$B$313</c:f>
              <c:numCache>
                <c:formatCode>General</c:formatCode>
                <c:ptCount val="313"/>
                <c:pt idx="0">
                  <c:v>0</c:v>
                </c:pt>
                <c:pt idx="1">
                  <c:v>5</c:v>
                </c:pt>
                <c:pt idx="2">
                  <c:v>11</c:v>
                </c:pt>
                <c:pt idx="3">
                  <c:v>16</c:v>
                </c:pt>
                <c:pt idx="4">
                  <c:v>23</c:v>
                </c:pt>
                <c:pt idx="5">
                  <c:v>36</c:v>
                </c:pt>
                <c:pt idx="6">
                  <c:v>58</c:v>
                </c:pt>
                <c:pt idx="7">
                  <c:v>29</c:v>
                </c:pt>
                <c:pt idx="8">
                  <c:v>20</c:v>
                </c:pt>
                <c:pt idx="9">
                  <c:v>10</c:v>
                </c:pt>
                <c:pt idx="10">
                  <c:v>8</c:v>
                </c:pt>
                <c:pt idx="11">
                  <c:v>3</c:v>
                </c:pt>
                <c:pt idx="12">
                  <c:v>0</c:v>
                </c:pt>
                <c:pt idx="13">
                  <c:v>0</c:v>
                </c:pt>
                <c:pt idx="14">
                  <c:v>2</c:v>
                </c:pt>
                <c:pt idx="15">
                  <c:v>11</c:v>
                </c:pt>
                <c:pt idx="16">
                  <c:v>27</c:v>
                </c:pt>
                <c:pt idx="17">
                  <c:v>47</c:v>
                </c:pt>
                <c:pt idx="18">
                  <c:v>63</c:v>
                </c:pt>
                <c:pt idx="19">
                  <c:v>60</c:v>
                </c:pt>
                <c:pt idx="20">
                  <c:v>39</c:v>
                </c:pt>
                <c:pt idx="21">
                  <c:v>28</c:v>
                </c:pt>
                <c:pt idx="22">
                  <c:v>26</c:v>
                </c:pt>
                <c:pt idx="23">
                  <c:v>22</c:v>
                </c:pt>
                <c:pt idx="24">
                  <c:v>11</c:v>
                </c:pt>
                <c:pt idx="25">
                  <c:v>21</c:v>
                </c:pt>
                <c:pt idx="26">
                  <c:v>40</c:v>
                </c:pt>
                <c:pt idx="27">
                  <c:v>78</c:v>
                </c:pt>
                <c:pt idx="28">
                  <c:v>122</c:v>
                </c:pt>
                <c:pt idx="29">
                  <c:v>103</c:v>
                </c:pt>
                <c:pt idx="30">
                  <c:v>73</c:v>
                </c:pt>
                <c:pt idx="31">
                  <c:v>47</c:v>
                </c:pt>
                <c:pt idx="32">
                  <c:v>35</c:v>
                </c:pt>
                <c:pt idx="33">
                  <c:v>11</c:v>
                </c:pt>
                <c:pt idx="34">
                  <c:v>5</c:v>
                </c:pt>
                <c:pt idx="35">
                  <c:v>16</c:v>
                </c:pt>
                <c:pt idx="36">
                  <c:v>34</c:v>
                </c:pt>
                <c:pt idx="37">
                  <c:v>70</c:v>
                </c:pt>
                <c:pt idx="38">
                  <c:v>81</c:v>
                </c:pt>
                <c:pt idx="39">
                  <c:v>111</c:v>
                </c:pt>
                <c:pt idx="40">
                  <c:v>101</c:v>
                </c:pt>
                <c:pt idx="41">
                  <c:v>73</c:v>
                </c:pt>
                <c:pt idx="42">
                  <c:v>40</c:v>
                </c:pt>
                <c:pt idx="43">
                  <c:v>20</c:v>
                </c:pt>
                <c:pt idx="44">
                  <c:v>16</c:v>
                </c:pt>
                <c:pt idx="45">
                  <c:v>5</c:v>
                </c:pt>
                <c:pt idx="46">
                  <c:v>11</c:v>
                </c:pt>
                <c:pt idx="47">
                  <c:v>22</c:v>
                </c:pt>
                <c:pt idx="48">
                  <c:v>40</c:v>
                </c:pt>
                <c:pt idx="49">
                  <c:v>60</c:v>
                </c:pt>
                <c:pt idx="50">
                  <c:v>80.900000000000006</c:v>
                </c:pt>
                <c:pt idx="51">
                  <c:v>83.4</c:v>
                </c:pt>
                <c:pt idx="52">
                  <c:v>47.7</c:v>
                </c:pt>
                <c:pt idx="53">
                  <c:v>47.8</c:v>
                </c:pt>
                <c:pt idx="54">
                  <c:v>30.7</c:v>
                </c:pt>
                <c:pt idx="55">
                  <c:v>12.2</c:v>
                </c:pt>
                <c:pt idx="56">
                  <c:v>9.6</c:v>
                </c:pt>
                <c:pt idx="57">
                  <c:v>10.200000000000001</c:v>
                </c:pt>
                <c:pt idx="58">
                  <c:v>32.4</c:v>
                </c:pt>
                <c:pt idx="59">
                  <c:v>47.6</c:v>
                </c:pt>
                <c:pt idx="60">
                  <c:v>54</c:v>
                </c:pt>
                <c:pt idx="61">
                  <c:v>62.9</c:v>
                </c:pt>
                <c:pt idx="62">
                  <c:v>85.9</c:v>
                </c:pt>
                <c:pt idx="63">
                  <c:v>61.2</c:v>
                </c:pt>
                <c:pt idx="64">
                  <c:v>45.1</c:v>
                </c:pt>
                <c:pt idx="65">
                  <c:v>36.4</c:v>
                </c:pt>
                <c:pt idx="66">
                  <c:v>20.9</c:v>
                </c:pt>
                <c:pt idx="67">
                  <c:v>11.4</c:v>
                </c:pt>
                <c:pt idx="68">
                  <c:v>37.800000000000004</c:v>
                </c:pt>
                <c:pt idx="69">
                  <c:v>69.8</c:v>
                </c:pt>
                <c:pt idx="70">
                  <c:v>106.1</c:v>
                </c:pt>
                <c:pt idx="71">
                  <c:v>100.8</c:v>
                </c:pt>
                <c:pt idx="72">
                  <c:v>81.599999999999994</c:v>
                </c:pt>
                <c:pt idx="73">
                  <c:v>66.5</c:v>
                </c:pt>
                <c:pt idx="74">
                  <c:v>34.800000000000004</c:v>
                </c:pt>
                <c:pt idx="75">
                  <c:v>30.6</c:v>
                </c:pt>
                <c:pt idx="76">
                  <c:v>7</c:v>
                </c:pt>
                <c:pt idx="77">
                  <c:v>19.8</c:v>
                </c:pt>
                <c:pt idx="78">
                  <c:v>92.5</c:v>
                </c:pt>
                <c:pt idx="79">
                  <c:v>154.4</c:v>
                </c:pt>
                <c:pt idx="80">
                  <c:v>125.9</c:v>
                </c:pt>
                <c:pt idx="81">
                  <c:v>84.8</c:v>
                </c:pt>
                <c:pt idx="82">
                  <c:v>68.099999999999994</c:v>
                </c:pt>
                <c:pt idx="83">
                  <c:v>38.5</c:v>
                </c:pt>
                <c:pt idx="84">
                  <c:v>22.8</c:v>
                </c:pt>
                <c:pt idx="85">
                  <c:v>10.200000000000001</c:v>
                </c:pt>
                <c:pt idx="86">
                  <c:v>24.1</c:v>
                </c:pt>
                <c:pt idx="87">
                  <c:v>82.9</c:v>
                </c:pt>
                <c:pt idx="88">
                  <c:v>132</c:v>
                </c:pt>
                <c:pt idx="89">
                  <c:v>130.9</c:v>
                </c:pt>
                <c:pt idx="90">
                  <c:v>118.1</c:v>
                </c:pt>
                <c:pt idx="91">
                  <c:v>89.9</c:v>
                </c:pt>
                <c:pt idx="92">
                  <c:v>66.599999999999994</c:v>
                </c:pt>
                <c:pt idx="93">
                  <c:v>60</c:v>
                </c:pt>
                <c:pt idx="94">
                  <c:v>46.9</c:v>
                </c:pt>
                <c:pt idx="95">
                  <c:v>41</c:v>
                </c:pt>
                <c:pt idx="96">
                  <c:v>21.3</c:v>
                </c:pt>
                <c:pt idx="97">
                  <c:v>16</c:v>
                </c:pt>
                <c:pt idx="98">
                  <c:v>6.4</c:v>
                </c:pt>
                <c:pt idx="99">
                  <c:v>4.0999999999999996</c:v>
                </c:pt>
                <c:pt idx="100">
                  <c:v>6.8</c:v>
                </c:pt>
                <c:pt idx="101">
                  <c:v>14.5</c:v>
                </c:pt>
                <c:pt idx="102">
                  <c:v>34</c:v>
                </c:pt>
                <c:pt idx="103">
                  <c:v>45</c:v>
                </c:pt>
                <c:pt idx="104">
                  <c:v>43.1</c:v>
                </c:pt>
                <c:pt idx="105">
                  <c:v>47.5</c:v>
                </c:pt>
                <c:pt idx="106">
                  <c:v>42.2</c:v>
                </c:pt>
                <c:pt idx="107">
                  <c:v>28.1</c:v>
                </c:pt>
                <c:pt idx="108">
                  <c:v>10.1</c:v>
                </c:pt>
                <c:pt idx="109">
                  <c:v>8.1</c:v>
                </c:pt>
                <c:pt idx="110">
                  <c:v>2.5</c:v>
                </c:pt>
                <c:pt idx="111">
                  <c:v>0</c:v>
                </c:pt>
                <c:pt idx="112">
                  <c:v>1.4</c:v>
                </c:pt>
                <c:pt idx="113">
                  <c:v>5</c:v>
                </c:pt>
                <c:pt idx="114">
                  <c:v>12.2</c:v>
                </c:pt>
                <c:pt idx="115">
                  <c:v>13.9</c:v>
                </c:pt>
                <c:pt idx="116">
                  <c:v>35.4</c:v>
                </c:pt>
                <c:pt idx="117">
                  <c:v>45.8</c:v>
                </c:pt>
                <c:pt idx="118">
                  <c:v>41.1</c:v>
                </c:pt>
                <c:pt idx="119">
                  <c:v>30.1</c:v>
                </c:pt>
                <c:pt idx="120">
                  <c:v>23.9</c:v>
                </c:pt>
                <c:pt idx="121">
                  <c:v>15.6</c:v>
                </c:pt>
                <c:pt idx="122">
                  <c:v>6.6</c:v>
                </c:pt>
                <c:pt idx="123">
                  <c:v>4</c:v>
                </c:pt>
                <c:pt idx="124">
                  <c:v>1.8</c:v>
                </c:pt>
                <c:pt idx="125">
                  <c:v>8.5</c:v>
                </c:pt>
                <c:pt idx="126">
                  <c:v>16.600000000000001</c:v>
                </c:pt>
                <c:pt idx="127">
                  <c:v>36.300000000000004</c:v>
                </c:pt>
                <c:pt idx="128">
                  <c:v>49.6</c:v>
                </c:pt>
                <c:pt idx="129">
                  <c:v>64.2</c:v>
                </c:pt>
                <c:pt idx="130">
                  <c:v>67</c:v>
                </c:pt>
                <c:pt idx="131">
                  <c:v>70.900000000000006</c:v>
                </c:pt>
                <c:pt idx="132">
                  <c:v>47.8</c:v>
                </c:pt>
                <c:pt idx="133">
                  <c:v>27.5</c:v>
                </c:pt>
                <c:pt idx="134">
                  <c:v>8.5</c:v>
                </c:pt>
                <c:pt idx="135">
                  <c:v>13.2</c:v>
                </c:pt>
                <c:pt idx="136">
                  <c:v>56.9</c:v>
                </c:pt>
                <c:pt idx="137">
                  <c:v>121.5</c:v>
                </c:pt>
                <c:pt idx="138">
                  <c:v>138.30000000000001</c:v>
                </c:pt>
                <c:pt idx="139">
                  <c:v>103.2</c:v>
                </c:pt>
                <c:pt idx="140">
                  <c:v>85.7</c:v>
                </c:pt>
                <c:pt idx="141">
                  <c:v>64.599999999999994</c:v>
                </c:pt>
                <c:pt idx="142">
                  <c:v>36.700000000000003</c:v>
                </c:pt>
                <c:pt idx="143">
                  <c:v>24.2</c:v>
                </c:pt>
                <c:pt idx="144">
                  <c:v>10.7</c:v>
                </c:pt>
                <c:pt idx="145">
                  <c:v>15</c:v>
                </c:pt>
                <c:pt idx="146">
                  <c:v>40.1</c:v>
                </c:pt>
                <c:pt idx="147">
                  <c:v>61.5</c:v>
                </c:pt>
                <c:pt idx="148">
                  <c:v>98.5</c:v>
                </c:pt>
                <c:pt idx="149">
                  <c:v>124.7</c:v>
                </c:pt>
                <c:pt idx="150">
                  <c:v>96.3</c:v>
                </c:pt>
                <c:pt idx="151">
                  <c:v>66.599999999999994</c:v>
                </c:pt>
                <c:pt idx="152">
                  <c:v>64.5</c:v>
                </c:pt>
                <c:pt idx="153">
                  <c:v>54.1</c:v>
                </c:pt>
                <c:pt idx="154">
                  <c:v>39</c:v>
                </c:pt>
                <c:pt idx="155">
                  <c:v>20.6</c:v>
                </c:pt>
                <c:pt idx="156">
                  <c:v>6.7</c:v>
                </c:pt>
                <c:pt idx="157">
                  <c:v>4.3</c:v>
                </c:pt>
                <c:pt idx="158">
                  <c:v>22.7</c:v>
                </c:pt>
                <c:pt idx="159">
                  <c:v>54.8</c:v>
                </c:pt>
                <c:pt idx="160">
                  <c:v>93.8</c:v>
                </c:pt>
                <c:pt idx="161">
                  <c:v>95.8</c:v>
                </c:pt>
                <c:pt idx="162">
                  <c:v>77.2</c:v>
                </c:pt>
                <c:pt idx="163">
                  <c:v>59.1</c:v>
                </c:pt>
                <c:pt idx="164">
                  <c:v>44</c:v>
                </c:pt>
                <c:pt idx="165">
                  <c:v>47</c:v>
                </c:pt>
                <c:pt idx="166">
                  <c:v>30.5</c:v>
                </c:pt>
                <c:pt idx="167">
                  <c:v>16.3</c:v>
                </c:pt>
                <c:pt idx="168">
                  <c:v>7.3</c:v>
                </c:pt>
                <c:pt idx="169">
                  <c:v>37.6</c:v>
                </c:pt>
                <c:pt idx="170">
                  <c:v>74</c:v>
                </c:pt>
                <c:pt idx="171">
                  <c:v>139</c:v>
                </c:pt>
                <c:pt idx="172">
                  <c:v>111.2</c:v>
                </c:pt>
                <c:pt idx="173">
                  <c:v>101.6</c:v>
                </c:pt>
                <c:pt idx="174">
                  <c:v>66.2</c:v>
                </c:pt>
                <c:pt idx="175">
                  <c:v>44.7</c:v>
                </c:pt>
                <c:pt idx="176">
                  <c:v>17</c:v>
                </c:pt>
                <c:pt idx="177">
                  <c:v>11.3</c:v>
                </c:pt>
                <c:pt idx="178">
                  <c:v>12.4</c:v>
                </c:pt>
                <c:pt idx="179">
                  <c:v>3.4</c:v>
                </c:pt>
                <c:pt idx="180">
                  <c:v>6</c:v>
                </c:pt>
                <c:pt idx="181">
                  <c:v>32.300000000000004</c:v>
                </c:pt>
                <c:pt idx="182">
                  <c:v>54.3</c:v>
                </c:pt>
                <c:pt idx="183">
                  <c:v>59.7</c:v>
                </c:pt>
                <c:pt idx="184">
                  <c:v>63.7</c:v>
                </c:pt>
                <c:pt idx="185">
                  <c:v>63.5</c:v>
                </c:pt>
                <c:pt idx="186">
                  <c:v>52.2</c:v>
                </c:pt>
                <c:pt idx="187">
                  <c:v>25.4</c:v>
                </c:pt>
                <c:pt idx="188">
                  <c:v>13.1</c:v>
                </c:pt>
                <c:pt idx="189">
                  <c:v>6.8</c:v>
                </c:pt>
                <c:pt idx="190">
                  <c:v>6.3</c:v>
                </c:pt>
                <c:pt idx="191">
                  <c:v>7.1</c:v>
                </c:pt>
                <c:pt idx="192">
                  <c:v>35.6</c:v>
                </c:pt>
                <c:pt idx="193">
                  <c:v>73</c:v>
                </c:pt>
                <c:pt idx="194">
                  <c:v>85.1</c:v>
                </c:pt>
                <c:pt idx="195">
                  <c:v>78</c:v>
                </c:pt>
                <c:pt idx="196">
                  <c:v>64</c:v>
                </c:pt>
                <c:pt idx="197">
                  <c:v>41.8</c:v>
                </c:pt>
                <c:pt idx="198">
                  <c:v>26.2</c:v>
                </c:pt>
                <c:pt idx="199">
                  <c:v>26.7</c:v>
                </c:pt>
                <c:pt idx="200">
                  <c:v>12.1</c:v>
                </c:pt>
                <c:pt idx="201">
                  <c:v>9.5</c:v>
                </c:pt>
                <c:pt idx="202">
                  <c:v>2.7</c:v>
                </c:pt>
                <c:pt idx="203">
                  <c:v>5</c:v>
                </c:pt>
                <c:pt idx="204">
                  <c:v>24.4</c:v>
                </c:pt>
                <c:pt idx="205">
                  <c:v>42</c:v>
                </c:pt>
                <c:pt idx="206">
                  <c:v>63.5</c:v>
                </c:pt>
                <c:pt idx="207">
                  <c:v>53.8</c:v>
                </c:pt>
                <c:pt idx="208">
                  <c:v>62</c:v>
                </c:pt>
                <c:pt idx="209">
                  <c:v>48.5</c:v>
                </c:pt>
                <c:pt idx="210">
                  <c:v>43.9</c:v>
                </c:pt>
                <c:pt idx="211">
                  <c:v>18.600000000000001</c:v>
                </c:pt>
                <c:pt idx="212">
                  <c:v>5.7</c:v>
                </c:pt>
                <c:pt idx="213">
                  <c:v>3.6</c:v>
                </c:pt>
                <c:pt idx="214">
                  <c:v>1.4</c:v>
                </c:pt>
                <c:pt idx="215">
                  <c:v>9.6</c:v>
                </c:pt>
                <c:pt idx="216">
                  <c:v>47.4</c:v>
                </c:pt>
                <c:pt idx="217">
                  <c:v>57.1</c:v>
                </c:pt>
                <c:pt idx="218">
                  <c:v>103.9</c:v>
                </c:pt>
                <c:pt idx="219">
                  <c:v>80.599999999999994</c:v>
                </c:pt>
                <c:pt idx="220">
                  <c:v>63.6</c:v>
                </c:pt>
                <c:pt idx="221">
                  <c:v>37.6</c:v>
                </c:pt>
                <c:pt idx="222">
                  <c:v>26.1</c:v>
                </c:pt>
                <c:pt idx="223">
                  <c:v>14.2</c:v>
                </c:pt>
                <c:pt idx="224">
                  <c:v>5.8</c:v>
                </c:pt>
                <c:pt idx="225">
                  <c:v>16.7</c:v>
                </c:pt>
                <c:pt idx="226">
                  <c:v>44.3</c:v>
                </c:pt>
                <c:pt idx="227">
                  <c:v>63.9</c:v>
                </c:pt>
                <c:pt idx="228">
                  <c:v>69</c:v>
                </c:pt>
                <c:pt idx="229">
                  <c:v>77.8</c:v>
                </c:pt>
                <c:pt idx="230">
                  <c:v>64.900000000000006</c:v>
                </c:pt>
                <c:pt idx="231">
                  <c:v>35.700000000000003</c:v>
                </c:pt>
                <c:pt idx="232">
                  <c:v>21.2</c:v>
                </c:pt>
                <c:pt idx="233">
                  <c:v>11.1</c:v>
                </c:pt>
                <c:pt idx="234">
                  <c:v>5.7</c:v>
                </c:pt>
                <c:pt idx="235">
                  <c:v>8.7000000000000011</c:v>
                </c:pt>
                <c:pt idx="236">
                  <c:v>36.1</c:v>
                </c:pt>
                <c:pt idx="237">
                  <c:v>79.7</c:v>
                </c:pt>
                <c:pt idx="238">
                  <c:v>114.4</c:v>
                </c:pt>
                <c:pt idx="239">
                  <c:v>109.6</c:v>
                </c:pt>
                <c:pt idx="240">
                  <c:v>88.8</c:v>
                </c:pt>
                <c:pt idx="241">
                  <c:v>67.8</c:v>
                </c:pt>
                <c:pt idx="242">
                  <c:v>47.5</c:v>
                </c:pt>
                <c:pt idx="243">
                  <c:v>30.6</c:v>
                </c:pt>
                <c:pt idx="244">
                  <c:v>16.3</c:v>
                </c:pt>
                <c:pt idx="245">
                  <c:v>9.6</c:v>
                </c:pt>
                <c:pt idx="246">
                  <c:v>33.200000000000003</c:v>
                </c:pt>
                <c:pt idx="247">
                  <c:v>92.6</c:v>
                </c:pt>
                <c:pt idx="248">
                  <c:v>151.6</c:v>
                </c:pt>
                <c:pt idx="249">
                  <c:v>136.30000000000001</c:v>
                </c:pt>
                <c:pt idx="250">
                  <c:v>134.69999999999999</c:v>
                </c:pt>
                <c:pt idx="251">
                  <c:v>83.9</c:v>
                </c:pt>
                <c:pt idx="252">
                  <c:v>69.400000000000006</c:v>
                </c:pt>
                <c:pt idx="253">
                  <c:v>31.5</c:v>
                </c:pt>
                <c:pt idx="254">
                  <c:v>13.9</c:v>
                </c:pt>
                <c:pt idx="255">
                  <c:v>4.4000000000000004</c:v>
                </c:pt>
                <c:pt idx="256">
                  <c:v>38</c:v>
                </c:pt>
                <c:pt idx="257">
                  <c:v>141.69999999999999</c:v>
                </c:pt>
                <c:pt idx="258">
                  <c:v>190.2</c:v>
                </c:pt>
                <c:pt idx="259">
                  <c:v>184.8</c:v>
                </c:pt>
                <c:pt idx="260">
                  <c:v>159</c:v>
                </c:pt>
                <c:pt idx="261">
                  <c:v>112.3</c:v>
                </c:pt>
                <c:pt idx="262">
                  <c:v>53.9</c:v>
                </c:pt>
                <c:pt idx="263">
                  <c:v>37.6</c:v>
                </c:pt>
                <c:pt idx="264">
                  <c:v>27.9</c:v>
                </c:pt>
                <c:pt idx="265">
                  <c:v>10.200000000000001</c:v>
                </c:pt>
                <c:pt idx="266">
                  <c:v>15.1</c:v>
                </c:pt>
                <c:pt idx="267">
                  <c:v>47</c:v>
                </c:pt>
                <c:pt idx="268">
                  <c:v>93.8</c:v>
                </c:pt>
                <c:pt idx="269">
                  <c:v>105.9</c:v>
                </c:pt>
                <c:pt idx="270">
                  <c:v>105.5</c:v>
                </c:pt>
                <c:pt idx="271">
                  <c:v>104.5</c:v>
                </c:pt>
                <c:pt idx="272">
                  <c:v>66.599999999999994</c:v>
                </c:pt>
                <c:pt idx="273">
                  <c:v>68.900000000000006</c:v>
                </c:pt>
                <c:pt idx="274">
                  <c:v>38</c:v>
                </c:pt>
                <c:pt idx="275">
                  <c:v>34.5</c:v>
                </c:pt>
                <c:pt idx="276">
                  <c:v>15.5</c:v>
                </c:pt>
                <c:pt idx="277">
                  <c:v>12.6</c:v>
                </c:pt>
                <c:pt idx="278">
                  <c:v>27.5</c:v>
                </c:pt>
                <c:pt idx="279">
                  <c:v>92.5</c:v>
                </c:pt>
                <c:pt idx="280">
                  <c:v>155.4</c:v>
                </c:pt>
                <c:pt idx="281">
                  <c:v>154.6</c:v>
                </c:pt>
                <c:pt idx="282">
                  <c:v>140.4</c:v>
                </c:pt>
                <c:pt idx="283">
                  <c:v>115.9</c:v>
                </c:pt>
                <c:pt idx="284">
                  <c:v>66.599999999999994</c:v>
                </c:pt>
                <c:pt idx="285">
                  <c:v>45.9</c:v>
                </c:pt>
                <c:pt idx="286">
                  <c:v>17.899999999999999</c:v>
                </c:pt>
                <c:pt idx="287">
                  <c:v>13.4</c:v>
                </c:pt>
                <c:pt idx="288">
                  <c:v>29.4</c:v>
                </c:pt>
                <c:pt idx="289">
                  <c:v>100.2</c:v>
                </c:pt>
                <c:pt idx="290">
                  <c:v>157.6</c:v>
                </c:pt>
                <c:pt idx="291">
                  <c:v>142.19999999999999</c:v>
                </c:pt>
                <c:pt idx="292">
                  <c:v>145.80000000000001</c:v>
                </c:pt>
                <c:pt idx="293">
                  <c:v>94.5</c:v>
                </c:pt>
                <c:pt idx="294">
                  <c:v>54.7</c:v>
                </c:pt>
                <c:pt idx="295">
                  <c:v>29.9</c:v>
                </c:pt>
                <c:pt idx="296">
                  <c:v>17.899999999999999</c:v>
                </c:pt>
                <c:pt idx="297">
                  <c:v>8.6</c:v>
                </c:pt>
                <c:pt idx="298">
                  <c:v>21.5</c:v>
                </c:pt>
                <c:pt idx="299">
                  <c:v>64.3</c:v>
                </c:pt>
                <c:pt idx="300">
                  <c:v>93.3</c:v>
                </c:pt>
                <c:pt idx="301">
                  <c:v>119.6</c:v>
                </c:pt>
                <c:pt idx="302">
                  <c:v>111</c:v>
                </c:pt>
                <c:pt idx="303">
                  <c:v>104</c:v>
                </c:pt>
                <c:pt idx="304">
                  <c:v>63.7</c:v>
                </c:pt>
                <c:pt idx="305">
                  <c:v>40.4</c:v>
                </c:pt>
                <c:pt idx="306">
                  <c:v>29.8</c:v>
                </c:pt>
                <c:pt idx="307">
                  <c:v>15.2</c:v>
                </c:pt>
                <c:pt idx="308">
                  <c:v>7.5</c:v>
                </c:pt>
                <c:pt idx="309">
                  <c:v>2.86</c:v>
                </c:pt>
                <c:pt idx="310">
                  <c:v>3.1</c:v>
                </c:pt>
                <c:pt idx="311">
                  <c:v>16.5</c:v>
                </c:pt>
                <c:pt idx="312">
                  <c:v>55.6</c:v>
                </c:pt>
              </c:numCache>
            </c:numRef>
          </c:val>
        </c:ser>
        <c:axId val="62938112"/>
        <c:axId val="62948480"/>
      </c:barChart>
      <c:lineChart>
        <c:grouping val="standard"/>
        <c:ser>
          <c:idx val="0"/>
          <c:order val="1"/>
          <c:tx>
            <c:strRef>
              <c:f>Sheet1!$C$1</c:f>
              <c:strCache>
                <c:ptCount val="1"/>
                <c:pt idx="0">
                  <c:v>TSI [W/m^2]</c:v>
                </c:pt>
              </c:strCache>
            </c:strRef>
          </c:tx>
          <c:spPr>
            <a:ln w="15867">
              <a:solidFill>
                <a:srgbClr val="002060"/>
              </a:solidFill>
            </a:ln>
          </c:spPr>
          <c:marker>
            <c:symbol val="none"/>
          </c:marker>
          <c:trendline>
            <c:trendlineType val="linear"/>
          </c:trendline>
          <c:cat>
            <c:numRef>
              <c:f>Sheet1!$A$1:$A$313</c:f>
              <c:numCache>
                <c:formatCode>General</c:formatCode>
                <c:ptCount val="313"/>
                <c:pt idx="1">
                  <c:v>1700</c:v>
                </c:pt>
                <c:pt idx="2">
                  <c:v>1701</c:v>
                </c:pt>
                <c:pt idx="3">
                  <c:v>1702</c:v>
                </c:pt>
                <c:pt idx="4">
                  <c:v>1703</c:v>
                </c:pt>
                <c:pt idx="5">
                  <c:v>1704</c:v>
                </c:pt>
                <c:pt idx="6">
                  <c:v>1705</c:v>
                </c:pt>
                <c:pt idx="7">
                  <c:v>1706</c:v>
                </c:pt>
                <c:pt idx="8">
                  <c:v>1707</c:v>
                </c:pt>
                <c:pt idx="9">
                  <c:v>1708</c:v>
                </c:pt>
                <c:pt idx="10">
                  <c:v>1709</c:v>
                </c:pt>
                <c:pt idx="11">
                  <c:v>1710</c:v>
                </c:pt>
                <c:pt idx="12">
                  <c:v>1711</c:v>
                </c:pt>
                <c:pt idx="13">
                  <c:v>1712</c:v>
                </c:pt>
                <c:pt idx="14">
                  <c:v>1713</c:v>
                </c:pt>
                <c:pt idx="15">
                  <c:v>1714</c:v>
                </c:pt>
                <c:pt idx="16">
                  <c:v>1715</c:v>
                </c:pt>
                <c:pt idx="17">
                  <c:v>1716</c:v>
                </c:pt>
                <c:pt idx="18">
                  <c:v>1717</c:v>
                </c:pt>
                <c:pt idx="19">
                  <c:v>1718</c:v>
                </c:pt>
                <c:pt idx="20">
                  <c:v>1719</c:v>
                </c:pt>
                <c:pt idx="21">
                  <c:v>1720</c:v>
                </c:pt>
                <c:pt idx="22">
                  <c:v>1721</c:v>
                </c:pt>
                <c:pt idx="23">
                  <c:v>1722</c:v>
                </c:pt>
                <c:pt idx="24">
                  <c:v>1723</c:v>
                </c:pt>
                <c:pt idx="25">
                  <c:v>1724</c:v>
                </c:pt>
                <c:pt idx="26">
                  <c:v>1725</c:v>
                </c:pt>
                <c:pt idx="27">
                  <c:v>1726</c:v>
                </c:pt>
                <c:pt idx="28">
                  <c:v>1727</c:v>
                </c:pt>
                <c:pt idx="29">
                  <c:v>1728</c:v>
                </c:pt>
                <c:pt idx="30">
                  <c:v>1729</c:v>
                </c:pt>
                <c:pt idx="31">
                  <c:v>1730</c:v>
                </c:pt>
                <c:pt idx="32">
                  <c:v>1731</c:v>
                </c:pt>
                <c:pt idx="33">
                  <c:v>1732</c:v>
                </c:pt>
                <c:pt idx="34">
                  <c:v>1733</c:v>
                </c:pt>
                <c:pt idx="35">
                  <c:v>1734</c:v>
                </c:pt>
                <c:pt idx="36">
                  <c:v>1735</c:v>
                </c:pt>
                <c:pt idx="37">
                  <c:v>1736</c:v>
                </c:pt>
                <c:pt idx="38">
                  <c:v>1737</c:v>
                </c:pt>
                <c:pt idx="39">
                  <c:v>1738</c:v>
                </c:pt>
                <c:pt idx="40">
                  <c:v>1739</c:v>
                </c:pt>
                <c:pt idx="41">
                  <c:v>1740</c:v>
                </c:pt>
                <c:pt idx="42">
                  <c:v>1741</c:v>
                </c:pt>
                <c:pt idx="43">
                  <c:v>1742</c:v>
                </c:pt>
                <c:pt idx="44">
                  <c:v>1743</c:v>
                </c:pt>
                <c:pt idx="45">
                  <c:v>1744</c:v>
                </c:pt>
                <c:pt idx="46">
                  <c:v>1745</c:v>
                </c:pt>
                <c:pt idx="47">
                  <c:v>1746</c:v>
                </c:pt>
                <c:pt idx="48">
                  <c:v>1747</c:v>
                </c:pt>
                <c:pt idx="49">
                  <c:v>1748</c:v>
                </c:pt>
                <c:pt idx="50">
                  <c:v>1749</c:v>
                </c:pt>
                <c:pt idx="51">
                  <c:v>1750</c:v>
                </c:pt>
                <c:pt idx="52">
                  <c:v>1751</c:v>
                </c:pt>
                <c:pt idx="53">
                  <c:v>1752</c:v>
                </c:pt>
                <c:pt idx="54">
                  <c:v>1753</c:v>
                </c:pt>
                <c:pt idx="55">
                  <c:v>1754</c:v>
                </c:pt>
                <c:pt idx="56">
                  <c:v>1755</c:v>
                </c:pt>
                <c:pt idx="57">
                  <c:v>1756</c:v>
                </c:pt>
                <c:pt idx="58">
                  <c:v>1757</c:v>
                </c:pt>
                <c:pt idx="59">
                  <c:v>1758</c:v>
                </c:pt>
                <c:pt idx="60">
                  <c:v>1759</c:v>
                </c:pt>
                <c:pt idx="61">
                  <c:v>1760</c:v>
                </c:pt>
                <c:pt idx="62">
                  <c:v>1761</c:v>
                </c:pt>
                <c:pt idx="63">
                  <c:v>1762</c:v>
                </c:pt>
                <c:pt idx="64">
                  <c:v>1763</c:v>
                </c:pt>
                <c:pt idx="65">
                  <c:v>1764</c:v>
                </c:pt>
                <c:pt idx="66">
                  <c:v>1765</c:v>
                </c:pt>
                <c:pt idx="67">
                  <c:v>1766</c:v>
                </c:pt>
                <c:pt idx="68">
                  <c:v>1767</c:v>
                </c:pt>
                <c:pt idx="69">
                  <c:v>1768</c:v>
                </c:pt>
                <c:pt idx="70">
                  <c:v>1769</c:v>
                </c:pt>
                <c:pt idx="71">
                  <c:v>1770</c:v>
                </c:pt>
                <c:pt idx="72">
                  <c:v>1771</c:v>
                </c:pt>
                <c:pt idx="73">
                  <c:v>1772</c:v>
                </c:pt>
                <c:pt idx="74">
                  <c:v>1773</c:v>
                </c:pt>
                <c:pt idx="75">
                  <c:v>1774</c:v>
                </c:pt>
                <c:pt idx="76">
                  <c:v>1775</c:v>
                </c:pt>
                <c:pt idx="77">
                  <c:v>1776</c:v>
                </c:pt>
                <c:pt idx="78">
                  <c:v>1777</c:v>
                </c:pt>
                <c:pt idx="79">
                  <c:v>1778</c:v>
                </c:pt>
                <c:pt idx="80">
                  <c:v>1779</c:v>
                </c:pt>
                <c:pt idx="81">
                  <c:v>1780</c:v>
                </c:pt>
                <c:pt idx="82">
                  <c:v>1781</c:v>
                </c:pt>
                <c:pt idx="83">
                  <c:v>1782</c:v>
                </c:pt>
                <c:pt idx="84">
                  <c:v>1783</c:v>
                </c:pt>
                <c:pt idx="85">
                  <c:v>1784</c:v>
                </c:pt>
                <c:pt idx="86">
                  <c:v>1785</c:v>
                </c:pt>
                <c:pt idx="87">
                  <c:v>1786</c:v>
                </c:pt>
                <c:pt idx="88">
                  <c:v>1787</c:v>
                </c:pt>
                <c:pt idx="89">
                  <c:v>1788</c:v>
                </c:pt>
                <c:pt idx="90">
                  <c:v>1789</c:v>
                </c:pt>
                <c:pt idx="91">
                  <c:v>1790</c:v>
                </c:pt>
                <c:pt idx="92">
                  <c:v>1791</c:v>
                </c:pt>
                <c:pt idx="93">
                  <c:v>1792</c:v>
                </c:pt>
                <c:pt idx="94">
                  <c:v>1793</c:v>
                </c:pt>
                <c:pt idx="95">
                  <c:v>1794</c:v>
                </c:pt>
                <c:pt idx="96">
                  <c:v>1795</c:v>
                </c:pt>
                <c:pt idx="97">
                  <c:v>1796</c:v>
                </c:pt>
                <c:pt idx="98">
                  <c:v>1797</c:v>
                </c:pt>
                <c:pt idx="99">
                  <c:v>1798</c:v>
                </c:pt>
                <c:pt idx="100">
                  <c:v>1799</c:v>
                </c:pt>
                <c:pt idx="101">
                  <c:v>1800</c:v>
                </c:pt>
                <c:pt idx="102">
                  <c:v>1801</c:v>
                </c:pt>
                <c:pt idx="103">
                  <c:v>1802</c:v>
                </c:pt>
                <c:pt idx="104">
                  <c:v>1803</c:v>
                </c:pt>
                <c:pt idx="105">
                  <c:v>1804</c:v>
                </c:pt>
                <c:pt idx="106">
                  <c:v>1805</c:v>
                </c:pt>
                <c:pt idx="107">
                  <c:v>1806</c:v>
                </c:pt>
                <c:pt idx="108">
                  <c:v>1807</c:v>
                </c:pt>
                <c:pt idx="109">
                  <c:v>1808</c:v>
                </c:pt>
                <c:pt idx="110">
                  <c:v>1809</c:v>
                </c:pt>
                <c:pt idx="111">
                  <c:v>1810</c:v>
                </c:pt>
                <c:pt idx="112">
                  <c:v>1811</c:v>
                </c:pt>
                <c:pt idx="113">
                  <c:v>1812</c:v>
                </c:pt>
                <c:pt idx="114">
                  <c:v>1813</c:v>
                </c:pt>
                <c:pt idx="115">
                  <c:v>1814</c:v>
                </c:pt>
                <c:pt idx="116">
                  <c:v>1815</c:v>
                </c:pt>
                <c:pt idx="117">
                  <c:v>1816</c:v>
                </c:pt>
                <c:pt idx="118">
                  <c:v>1817</c:v>
                </c:pt>
                <c:pt idx="119">
                  <c:v>1818</c:v>
                </c:pt>
                <c:pt idx="120">
                  <c:v>1819</c:v>
                </c:pt>
                <c:pt idx="121">
                  <c:v>1820</c:v>
                </c:pt>
                <c:pt idx="122">
                  <c:v>1821</c:v>
                </c:pt>
                <c:pt idx="123">
                  <c:v>1822</c:v>
                </c:pt>
                <c:pt idx="124">
                  <c:v>1823</c:v>
                </c:pt>
                <c:pt idx="125">
                  <c:v>1824</c:v>
                </c:pt>
                <c:pt idx="126">
                  <c:v>1825</c:v>
                </c:pt>
                <c:pt idx="127">
                  <c:v>1826</c:v>
                </c:pt>
                <c:pt idx="128">
                  <c:v>1827</c:v>
                </c:pt>
                <c:pt idx="129">
                  <c:v>1828</c:v>
                </c:pt>
                <c:pt idx="130">
                  <c:v>1829</c:v>
                </c:pt>
                <c:pt idx="131">
                  <c:v>1830</c:v>
                </c:pt>
                <c:pt idx="132">
                  <c:v>1831</c:v>
                </c:pt>
                <c:pt idx="133">
                  <c:v>1832</c:v>
                </c:pt>
                <c:pt idx="134">
                  <c:v>1833</c:v>
                </c:pt>
                <c:pt idx="135">
                  <c:v>1834</c:v>
                </c:pt>
                <c:pt idx="136">
                  <c:v>1835</c:v>
                </c:pt>
                <c:pt idx="137">
                  <c:v>1836</c:v>
                </c:pt>
                <c:pt idx="138">
                  <c:v>1837</c:v>
                </c:pt>
                <c:pt idx="139">
                  <c:v>1838</c:v>
                </c:pt>
                <c:pt idx="140">
                  <c:v>1839</c:v>
                </c:pt>
                <c:pt idx="141">
                  <c:v>1840</c:v>
                </c:pt>
                <c:pt idx="142">
                  <c:v>1841</c:v>
                </c:pt>
                <c:pt idx="143">
                  <c:v>1842</c:v>
                </c:pt>
                <c:pt idx="144">
                  <c:v>1843</c:v>
                </c:pt>
                <c:pt idx="145">
                  <c:v>1844</c:v>
                </c:pt>
                <c:pt idx="146">
                  <c:v>1845</c:v>
                </c:pt>
                <c:pt idx="147">
                  <c:v>1846</c:v>
                </c:pt>
                <c:pt idx="148">
                  <c:v>1847</c:v>
                </c:pt>
                <c:pt idx="149">
                  <c:v>1848</c:v>
                </c:pt>
                <c:pt idx="150">
                  <c:v>1849</c:v>
                </c:pt>
                <c:pt idx="151">
                  <c:v>1850</c:v>
                </c:pt>
                <c:pt idx="152">
                  <c:v>1851</c:v>
                </c:pt>
                <c:pt idx="153">
                  <c:v>1852</c:v>
                </c:pt>
                <c:pt idx="154">
                  <c:v>1853</c:v>
                </c:pt>
                <c:pt idx="155">
                  <c:v>1854</c:v>
                </c:pt>
                <c:pt idx="156">
                  <c:v>1855</c:v>
                </c:pt>
                <c:pt idx="157">
                  <c:v>1856</c:v>
                </c:pt>
                <c:pt idx="158">
                  <c:v>1857</c:v>
                </c:pt>
                <c:pt idx="159">
                  <c:v>1858</c:v>
                </c:pt>
                <c:pt idx="160">
                  <c:v>1859</c:v>
                </c:pt>
                <c:pt idx="161">
                  <c:v>1860</c:v>
                </c:pt>
                <c:pt idx="162">
                  <c:v>1861</c:v>
                </c:pt>
                <c:pt idx="163">
                  <c:v>1862</c:v>
                </c:pt>
                <c:pt idx="164">
                  <c:v>1863</c:v>
                </c:pt>
                <c:pt idx="165">
                  <c:v>1864</c:v>
                </c:pt>
                <c:pt idx="166">
                  <c:v>1865</c:v>
                </c:pt>
                <c:pt idx="167">
                  <c:v>1866</c:v>
                </c:pt>
                <c:pt idx="168">
                  <c:v>1867</c:v>
                </c:pt>
                <c:pt idx="169">
                  <c:v>1868</c:v>
                </c:pt>
                <c:pt idx="170">
                  <c:v>1869</c:v>
                </c:pt>
                <c:pt idx="171">
                  <c:v>1870</c:v>
                </c:pt>
                <c:pt idx="172">
                  <c:v>1871</c:v>
                </c:pt>
                <c:pt idx="173">
                  <c:v>1872</c:v>
                </c:pt>
                <c:pt idx="174">
                  <c:v>1873</c:v>
                </c:pt>
                <c:pt idx="175">
                  <c:v>1874</c:v>
                </c:pt>
                <c:pt idx="176">
                  <c:v>1875</c:v>
                </c:pt>
                <c:pt idx="177">
                  <c:v>1876</c:v>
                </c:pt>
                <c:pt idx="178">
                  <c:v>1877</c:v>
                </c:pt>
                <c:pt idx="179">
                  <c:v>1878</c:v>
                </c:pt>
                <c:pt idx="180">
                  <c:v>1879</c:v>
                </c:pt>
                <c:pt idx="181">
                  <c:v>1880</c:v>
                </c:pt>
                <c:pt idx="182">
                  <c:v>1881</c:v>
                </c:pt>
                <c:pt idx="183">
                  <c:v>1882</c:v>
                </c:pt>
                <c:pt idx="184">
                  <c:v>1883</c:v>
                </c:pt>
                <c:pt idx="185">
                  <c:v>1884</c:v>
                </c:pt>
                <c:pt idx="186">
                  <c:v>1885</c:v>
                </c:pt>
                <c:pt idx="187">
                  <c:v>1886</c:v>
                </c:pt>
                <c:pt idx="188">
                  <c:v>1887</c:v>
                </c:pt>
                <c:pt idx="189">
                  <c:v>1888</c:v>
                </c:pt>
                <c:pt idx="190">
                  <c:v>1889</c:v>
                </c:pt>
                <c:pt idx="191">
                  <c:v>1890</c:v>
                </c:pt>
                <c:pt idx="192">
                  <c:v>1891</c:v>
                </c:pt>
                <c:pt idx="193">
                  <c:v>1892</c:v>
                </c:pt>
                <c:pt idx="194">
                  <c:v>1893</c:v>
                </c:pt>
                <c:pt idx="195">
                  <c:v>1894</c:v>
                </c:pt>
                <c:pt idx="196">
                  <c:v>1895</c:v>
                </c:pt>
                <c:pt idx="197">
                  <c:v>1896</c:v>
                </c:pt>
                <c:pt idx="198">
                  <c:v>1897</c:v>
                </c:pt>
                <c:pt idx="199">
                  <c:v>1898</c:v>
                </c:pt>
                <c:pt idx="200">
                  <c:v>1899</c:v>
                </c:pt>
                <c:pt idx="201">
                  <c:v>1900</c:v>
                </c:pt>
                <c:pt idx="202">
                  <c:v>1901</c:v>
                </c:pt>
                <c:pt idx="203">
                  <c:v>1902</c:v>
                </c:pt>
                <c:pt idx="204">
                  <c:v>1903</c:v>
                </c:pt>
                <c:pt idx="205">
                  <c:v>1904</c:v>
                </c:pt>
                <c:pt idx="206">
                  <c:v>1905</c:v>
                </c:pt>
                <c:pt idx="207">
                  <c:v>1906</c:v>
                </c:pt>
                <c:pt idx="208">
                  <c:v>1907</c:v>
                </c:pt>
                <c:pt idx="209">
                  <c:v>1908</c:v>
                </c:pt>
                <c:pt idx="210">
                  <c:v>1909</c:v>
                </c:pt>
                <c:pt idx="211">
                  <c:v>1910</c:v>
                </c:pt>
                <c:pt idx="212">
                  <c:v>1911</c:v>
                </c:pt>
                <c:pt idx="213">
                  <c:v>1912</c:v>
                </c:pt>
                <c:pt idx="214">
                  <c:v>1913</c:v>
                </c:pt>
                <c:pt idx="215">
                  <c:v>1914</c:v>
                </c:pt>
                <c:pt idx="216">
                  <c:v>1915</c:v>
                </c:pt>
                <c:pt idx="217">
                  <c:v>1916</c:v>
                </c:pt>
                <c:pt idx="218">
                  <c:v>1917</c:v>
                </c:pt>
                <c:pt idx="219">
                  <c:v>1918</c:v>
                </c:pt>
                <c:pt idx="220">
                  <c:v>1919</c:v>
                </c:pt>
                <c:pt idx="221">
                  <c:v>1920</c:v>
                </c:pt>
                <c:pt idx="222">
                  <c:v>1921</c:v>
                </c:pt>
                <c:pt idx="223">
                  <c:v>1922</c:v>
                </c:pt>
                <c:pt idx="224">
                  <c:v>1923</c:v>
                </c:pt>
                <c:pt idx="225">
                  <c:v>1924</c:v>
                </c:pt>
                <c:pt idx="226">
                  <c:v>1925</c:v>
                </c:pt>
                <c:pt idx="227">
                  <c:v>1926</c:v>
                </c:pt>
                <c:pt idx="228">
                  <c:v>1927</c:v>
                </c:pt>
                <c:pt idx="229">
                  <c:v>1928</c:v>
                </c:pt>
                <c:pt idx="230">
                  <c:v>1929</c:v>
                </c:pt>
                <c:pt idx="231">
                  <c:v>1930</c:v>
                </c:pt>
                <c:pt idx="232">
                  <c:v>1931</c:v>
                </c:pt>
                <c:pt idx="233">
                  <c:v>1932</c:v>
                </c:pt>
                <c:pt idx="234">
                  <c:v>1933</c:v>
                </c:pt>
                <c:pt idx="235">
                  <c:v>1934</c:v>
                </c:pt>
                <c:pt idx="236">
                  <c:v>1935</c:v>
                </c:pt>
                <c:pt idx="237">
                  <c:v>1936</c:v>
                </c:pt>
                <c:pt idx="238">
                  <c:v>1937</c:v>
                </c:pt>
                <c:pt idx="239">
                  <c:v>1938</c:v>
                </c:pt>
                <c:pt idx="240">
                  <c:v>1939</c:v>
                </c:pt>
                <c:pt idx="241">
                  <c:v>1940</c:v>
                </c:pt>
                <c:pt idx="242">
                  <c:v>1941</c:v>
                </c:pt>
                <c:pt idx="243">
                  <c:v>1942</c:v>
                </c:pt>
                <c:pt idx="244">
                  <c:v>1943</c:v>
                </c:pt>
                <c:pt idx="245">
                  <c:v>1944</c:v>
                </c:pt>
                <c:pt idx="246">
                  <c:v>1945</c:v>
                </c:pt>
                <c:pt idx="247">
                  <c:v>1946</c:v>
                </c:pt>
                <c:pt idx="248">
                  <c:v>1947</c:v>
                </c:pt>
                <c:pt idx="249">
                  <c:v>1948</c:v>
                </c:pt>
                <c:pt idx="250">
                  <c:v>1949</c:v>
                </c:pt>
                <c:pt idx="251">
                  <c:v>1950</c:v>
                </c:pt>
                <c:pt idx="252">
                  <c:v>1951</c:v>
                </c:pt>
                <c:pt idx="253">
                  <c:v>1952</c:v>
                </c:pt>
                <c:pt idx="254">
                  <c:v>1953</c:v>
                </c:pt>
                <c:pt idx="255">
                  <c:v>1954</c:v>
                </c:pt>
                <c:pt idx="256">
                  <c:v>1955</c:v>
                </c:pt>
                <c:pt idx="257">
                  <c:v>1956</c:v>
                </c:pt>
                <c:pt idx="258">
                  <c:v>1957</c:v>
                </c:pt>
                <c:pt idx="259">
                  <c:v>1958</c:v>
                </c:pt>
                <c:pt idx="260">
                  <c:v>1959</c:v>
                </c:pt>
                <c:pt idx="261">
                  <c:v>1960</c:v>
                </c:pt>
                <c:pt idx="262">
                  <c:v>1961</c:v>
                </c:pt>
                <c:pt idx="263">
                  <c:v>1962</c:v>
                </c:pt>
                <c:pt idx="264">
                  <c:v>1963</c:v>
                </c:pt>
                <c:pt idx="265">
                  <c:v>1964</c:v>
                </c:pt>
                <c:pt idx="266">
                  <c:v>1965</c:v>
                </c:pt>
                <c:pt idx="267">
                  <c:v>1966</c:v>
                </c:pt>
                <c:pt idx="268">
                  <c:v>1967</c:v>
                </c:pt>
                <c:pt idx="269">
                  <c:v>1968</c:v>
                </c:pt>
                <c:pt idx="270">
                  <c:v>1969</c:v>
                </c:pt>
                <c:pt idx="271">
                  <c:v>1970</c:v>
                </c:pt>
                <c:pt idx="272">
                  <c:v>1971</c:v>
                </c:pt>
                <c:pt idx="273">
                  <c:v>1972</c:v>
                </c:pt>
                <c:pt idx="274">
                  <c:v>1973</c:v>
                </c:pt>
                <c:pt idx="275">
                  <c:v>1974</c:v>
                </c:pt>
                <c:pt idx="276">
                  <c:v>1975</c:v>
                </c:pt>
                <c:pt idx="277">
                  <c:v>1976</c:v>
                </c:pt>
                <c:pt idx="278">
                  <c:v>1977</c:v>
                </c:pt>
                <c:pt idx="279">
                  <c:v>1978</c:v>
                </c:pt>
                <c:pt idx="280">
                  <c:v>1979</c:v>
                </c:pt>
                <c:pt idx="281">
                  <c:v>1980</c:v>
                </c:pt>
                <c:pt idx="282">
                  <c:v>1981</c:v>
                </c:pt>
                <c:pt idx="283">
                  <c:v>1982</c:v>
                </c:pt>
                <c:pt idx="284">
                  <c:v>1983</c:v>
                </c:pt>
                <c:pt idx="285">
                  <c:v>1984</c:v>
                </c:pt>
                <c:pt idx="286">
                  <c:v>1985</c:v>
                </c:pt>
                <c:pt idx="287">
                  <c:v>1986</c:v>
                </c:pt>
                <c:pt idx="288">
                  <c:v>1987</c:v>
                </c:pt>
                <c:pt idx="289">
                  <c:v>1988</c:v>
                </c:pt>
                <c:pt idx="290">
                  <c:v>1989</c:v>
                </c:pt>
                <c:pt idx="291">
                  <c:v>1990</c:v>
                </c:pt>
                <c:pt idx="292">
                  <c:v>1991</c:v>
                </c:pt>
                <c:pt idx="293">
                  <c:v>1992</c:v>
                </c:pt>
                <c:pt idx="294">
                  <c:v>1993</c:v>
                </c:pt>
                <c:pt idx="295">
                  <c:v>1994</c:v>
                </c:pt>
                <c:pt idx="296">
                  <c:v>1995</c:v>
                </c:pt>
                <c:pt idx="297">
                  <c:v>1996</c:v>
                </c:pt>
                <c:pt idx="298">
                  <c:v>1997</c:v>
                </c:pt>
                <c:pt idx="299">
                  <c:v>1998</c:v>
                </c:pt>
                <c:pt idx="300">
                  <c:v>1999</c:v>
                </c:pt>
                <c:pt idx="301">
                  <c:v>2000</c:v>
                </c:pt>
                <c:pt idx="302">
                  <c:v>2001</c:v>
                </c:pt>
                <c:pt idx="303">
                  <c:v>2002</c:v>
                </c:pt>
                <c:pt idx="304">
                  <c:v>2003</c:v>
                </c:pt>
                <c:pt idx="305">
                  <c:v>2004</c:v>
                </c:pt>
                <c:pt idx="306">
                  <c:v>2005</c:v>
                </c:pt>
                <c:pt idx="307">
                  <c:v>2006</c:v>
                </c:pt>
                <c:pt idx="308">
                  <c:v>2007</c:v>
                </c:pt>
                <c:pt idx="309">
                  <c:v>2008</c:v>
                </c:pt>
                <c:pt idx="310">
                  <c:v>2009</c:v>
                </c:pt>
                <c:pt idx="311">
                  <c:v>2010</c:v>
                </c:pt>
                <c:pt idx="312">
                  <c:v>2011</c:v>
                </c:pt>
              </c:numCache>
            </c:numRef>
          </c:cat>
          <c:val>
            <c:numRef>
              <c:f>Sheet1!$C$1:$C$313</c:f>
              <c:numCache>
                <c:formatCode>General</c:formatCode>
                <c:ptCount val="313"/>
                <c:pt idx="0">
                  <c:v>0</c:v>
                </c:pt>
                <c:pt idx="1">
                  <c:v>1360.1475</c:v>
                </c:pt>
                <c:pt idx="2">
                  <c:v>1360.1495</c:v>
                </c:pt>
                <c:pt idx="3">
                  <c:v>1360.1524999999995</c:v>
                </c:pt>
                <c:pt idx="4">
                  <c:v>1360.1702999999998</c:v>
                </c:pt>
                <c:pt idx="5">
                  <c:v>1360.1852999999999</c:v>
                </c:pt>
                <c:pt idx="6">
                  <c:v>1360.2011</c:v>
                </c:pt>
                <c:pt idx="7">
                  <c:v>1360.1895999999999</c:v>
                </c:pt>
                <c:pt idx="8">
                  <c:v>1360.2061000000001</c:v>
                </c:pt>
                <c:pt idx="9">
                  <c:v>1360.1916999999999</c:v>
                </c:pt>
                <c:pt idx="10">
                  <c:v>1360.1872999999998</c:v>
                </c:pt>
                <c:pt idx="11">
                  <c:v>1360.1892999999998</c:v>
                </c:pt>
                <c:pt idx="12">
                  <c:v>1360.1997999999999</c:v>
                </c:pt>
                <c:pt idx="13">
                  <c:v>1360.2057000000004</c:v>
                </c:pt>
                <c:pt idx="14">
                  <c:v>1360.2121999999999</c:v>
                </c:pt>
                <c:pt idx="15">
                  <c:v>1360.2282</c:v>
                </c:pt>
                <c:pt idx="16">
                  <c:v>1360.2553</c:v>
                </c:pt>
                <c:pt idx="17">
                  <c:v>1360.2953</c:v>
                </c:pt>
                <c:pt idx="18">
                  <c:v>1360.3552999999999</c:v>
                </c:pt>
                <c:pt idx="19">
                  <c:v>1360.2966000000001</c:v>
                </c:pt>
                <c:pt idx="20">
                  <c:v>1360.4688000000001</c:v>
                </c:pt>
                <c:pt idx="21">
                  <c:v>1360.4118000000001</c:v>
                </c:pt>
                <c:pt idx="22">
                  <c:v>1360.4139</c:v>
                </c:pt>
                <c:pt idx="23">
                  <c:v>1360.3468</c:v>
                </c:pt>
                <c:pt idx="24">
                  <c:v>1360.3096</c:v>
                </c:pt>
                <c:pt idx="25">
                  <c:v>1360.3939999999998</c:v>
                </c:pt>
                <c:pt idx="26">
                  <c:v>1360.3832999999995</c:v>
                </c:pt>
                <c:pt idx="27">
                  <c:v>1360.5532999999998</c:v>
                </c:pt>
                <c:pt idx="28">
                  <c:v>1360.5586000000001</c:v>
                </c:pt>
                <c:pt idx="29">
                  <c:v>1360.7496000000001</c:v>
                </c:pt>
                <c:pt idx="30">
                  <c:v>1360.4738</c:v>
                </c:pt>
                <c:pt idx="31">
                  <c:v>1360.7864</c:v>
                </c:pt>
                <c:pt idx="32">
                  <c:v>1360.3071</c:v>
                </c:pt>
                <c:pt idx="33">
                  <c:v>1360.4349</c:v>
                </c:pt>
                <c:pt idx="34">
                  <c:v>1360.3242999999998</c:v>
                </c:pt>
                <c:pt idx="35">
                  <c:v>1360.3344999999995</c:v>
                </c:pt>
                <c:pt idx="36">
                  <c:v>1360.4645</c:v>
                </c:pt>
                <c:pt idx="37">
                  <c:v>1360.6744999999996</c:v>
                </c:pt>
                <c:pt idx="38">
                  <c:v>1360.5086000000001</c:v>
                </c:pt>
                <c:pt idx="39">
                  <c:v>1360.4629</c:v>
                </c:pt>
                <c:pt idx="40">
                  <c:v>1360.7054000000001</c:v>
                </c:pt>
                <c:pt idx="41">
                  <c:v>1360.4070000000004</c:v>
                </c:pt>
                <c:pt idx="42">
                  <c:v>1360.7366000000004</c:v>
                </c:pt>
                <c:pt idx="43">
                  <c:v>1360.4506000000001</c:v>
                </c:pt>
                <c:pt idx="44">
                  <c:v>1360.3957</c:v>
                </c:pt>
                <c:pt idx="45">
                  <c:v>1360.3396</c:v>
                </c:pt>
                <c:pt idx="46">
                  <c:v>1360.3422999999998</c:v>
                </c:pt>
                <c:pt idx="47">
                  <c:v>1360.3481999999999</c:v>
                </c:pt>
                <c:pt idx="48">
                  <c:v>1360.3563999999999</c:v>
                </c:pt>
                <c:pt idx="49">
                  <c:v>1360.7807</c:v>
                </c:pt>
                <c:pt idx="50">
                  <c:v>1360.8008</c:v>
                </c:pt>
                <c:pt idx="51">
                  <c:v>1360.7643999999998</c:v>
                </c:pt>
                <c:pt idx="52">
                  <c:v>1360.5938999999998</c:v>
                </c:pt>
                <c:pt idx="53">
                  <c:v>1360.5661</c:v>
                </c:pt>
                <c:pt idx="54">
                  <c:v>1360.5479</c:v>
                </c:pt>
                <c:pt idx="55">
                  <c:v>1360.461</c:v>
                </c:pt>
                <c:pt idx="56">
                  <c:v>1360.4479000000001</c:v>
                </c:pt>
                <c:pt idx="57">
                  <c:v>1360.4760000000001</c:v>
                </c:pt>
                <c:pt idx="58">
                  <c:v>1360.5992999999999</c:v>
                </c:pt>
                <c:pt idx="59">
                  <c:v>1360.7126000000001</c:v>
                </c:pt>
                <c:pt idx="60">
                  <c:v>1360.7760000000001</c:v>
                </c:pt>
                <c:pt idx="61">
                  <c:v>1360.7512999999999</c:v>
                </c:pt>
                <c:pt idx="62">
                  <c:v>1360.9157000000005</c:v>
                </c:pt>
                <c:pt idx="63">
                  <c:v>1360.7773</c:v>
                </c:pt>
                <c:pt idx="64">
                  <c:v>1360.7070000000001</c:v>
                </c:pt>
                <c:pt idx="65">
                  <c:v>1360.6831999999995</c:v>
                </c:pt>
                <c:pt idx="66">
                  <c:v>1360.5323999999998</c:v>
                </c:pt>
                <c:pt idx="67">
                  <c:v>1360.5018</c:v>
                </c:pt>
                <c:pt idx="68">
                  <c:v>1360.7076000000004</c:v>
                </c:pt>
                <c:pt idx="69">
                  <c:v>1360.9604999999999</c:v>
                </c:pt>
                <c:pt idx="70">
                  <c:v>1361.1452999999999</c:v>
                </c:pt>
                <c:pt idx="71">
                  <c:v>1361.1478999999999</c:v>
                </c:pt>
                <c:pt idx="72">
                  <c:v>1361.0413999999998</c:v>
                </c:pt>
                <c:pt idx="73">
                  <c:v>1360.9692</c:v>
                </c:pt>
                <c:pt idx="74">
                  <c:v>1360.7501999999999</c:v>
                </c:pt>
                <c:pt idx="75">
                  <c:v>1360.7121</c:v>
                </c:pt>
                <c:pt idx="76">
                  <c:v>1360.5752</c:v>
                </c:pt>
                <c:pt idx="77">
                  <c:v>1360.6297999999999</c:v>
                </c:pt>
                <c:pt idx="78">
                  <c:v>1360.7915</c:v>
                </c:pt>
                <c:pt idx="79">
                  <c:v>1361.0213999999999</c:v>
                </c:pt>
                <c:pt idx="80">
                  <c:v>1361.0792999999999</c:v>
                </c:pt>
                <c:pt idx="81">
                  <c:v>1360.9012</c:v>
                </c:pt>
                <c:pt idx="82">
                  <c:v>1361.0127</c:v>
                </c:pt>
                <c:pt idx="83">
                  <c:v>1360.7476000000001</c:v>
                </c:pt>
                <c:pt idx="84">
                  <c:v>1360.6542999999995</c:v>
                </c:pt>
                <c:pt idx="85">
                  <c:v>1360.5225</c:v>
                </c:pt>
                <c:pt idx="86">
                  <c:v>1360.5817</c:v>
                </c:pt>
                <c:pt idx="87">
                  <c:v>1360.8940999999998</c:v>
                </c:pt>
                <c:pt idx="88">
                  <c:v>1361.0596</c:v>
                </c:pt>
                <c:pt idx="89">
                  <c:v>1361.0060000000001</c:v>
                </c:pt>
                <c:pt idx="90">
                  <c:v>1360.9854</c:v>
                </c:pt>
                <c:pt idx="91">
                  <c:v>1360.8862999999999</c:v>
                </c:pt>
                <c:pt idx="92">
                  <c:v>1360.7360000000001</c:v>
                </c:pt>
                <c:pt idx="93">
                  <c:v>1360.722</c:v>
                </c:pt>
                <c:pt idx="94">
                  <c:v>1360.7014999999999</c:v>
                </c:pt>
                <c:pt idx="95">
                  <c:v>1360.6075000000001</c:v>
                </c:pt>
                <c:pt idx="96">
                  <c:v>1360.4903999999999</c:v>
                </c:pt>
                <c:pt idx="97">
                  <c:v>1360.4607000000001</c:v>
                </c:pt>
                <c:pt idx="98">
                  <c:v>1360.4076000000005</c:v>
                </c:pt>
                <c:pt idx="99">
                  <c:v>1360.3825999999999</c:v>
                </c:pt>
                <c:pt idx="100">
                  <c:v>1360.3887999999999</c:v>
                </c:pt>
                <c:pt idx="101">
                  <c:v>1360.4294</c:v>
                </c:pt>
                <c:pt idx="102">
                  <c:v>1360.7016000000001</c:v>
                </c:pt>
                <c:pt idx="103">
                  <c:v>1360.58</c:v>
                </c:pt>
                <c:pt idx="104">
                  <c:v>1360.4477000000004</c:v>
                </c:pt>
                <c:pt idx="105">
                  <c:v>1360.4516000000001</c:v>
                </c:pt>
                <c:pt idx="106">
                  <c:v>1360.462</c:v>
                </c:pt>
                <c:pt idx="107">
                  <c:v>1360.3643999999995</c:v>
                </c:pt>
                <c:pt idx="108">
                  <c:v>1360.2969000000001</c:v>
                </c:pt>
                <c:pt idx="109">
                  <c:v>1360.2717</c:v>
                </c:pt>
                <c:pt idx="110">
                  <c:v>1360.2438999999999</c:v>
                </c:pt>
                <c:pt idx="111">
                  <c:v>1360.2353000000001</c:v>
                </c:pt>
                <c:pt idx="112">
                  <c:v>1360.2481</c:v>
                </c:pt>
                <c:pt idx="113">
                  <c:v>1360.289</c:v>
                </c:pt>
                <c:pt idx="114">
                  <c:v>1360.3376000000001</c:v>
                </c:pt>
                <c:pt idx="115">
                  <c:v>1360.3613999999998</c:v>
                </c:pt>
                <c:pt idx="116">
                  <c:v>1360.4165000000005</c:v>
                </c:pt>
                <c:pt idx="117">
                  <c:v>1360.5125</c:v>
                </c:pt>
                <c:pt idx="118">
                  <c:v>1360.4859000000001</c:v>
                </c:pt>
                <c:pt idx="119">
                  <c:v>1360.4378000000004</c:v>
                </c:pt>
                <c:pt idx="120">
                  <c:v>1360.4227000000001</c:v>
                </c:pt>
                <c:pt idx="121">
                  <c:v>1360.3669</c:v>
                </c:pt>
                <c:pt idx="122">
                  <c:v>1360.3453</c:v>
                </c:pt>
                <c:pt idx="123">
                  <c:v>1360.3690999999999</c:v>
                </c:pt>
                <c:pt idx="124">
                  <c:v>1360.3741999999995</c:v>
                </c:pt>
                <c:pt idx="125">
                  <c:v>1360.4152000000001</c:v>
                </c:pt>
                <c:pt idx="126">
                  <c:v>1360.4886000000001</c:v>
                </c:pt>
                <c:pt idx="127">
                  <c:v>1360.5917999999999</c:v>
                </c:pt>
                <c:pt idx="128">
                  <c:v>1360.703</c:v>
                </c:pt>
                <c:pt idx="129">
                  <c:v>1360.7905000000001</c:v>
                </c:pt>
                <c:pt idx="130">
                  <c:v>1360.8083999999999</c:v>
                </c:pt>
                <c:pt idx="131">
                  <c:v>1360.8493999999998</c:v>
                </c:pt>
                <c:pt idx="132">
                  <c:v>1360.6843999999994</c:v>
                </c:pt>
                <c:pt idx="133">
                  <c:v>1360.5823999999998</c:v>
                </c:pt>
                <c:pt idx="134">
                  <c:v>1360.4871000000001</c:v>
                </c:pt>
                <c:pt idx="135">
                  <c:v>1360.5225</c:v>
                </c:pt>
                <c:pt idx="136">
                  <c:v>1360.7836</c:v>
                </c:pt>
                <c:pt idx="137">
                  <c:v>1361.1651999999999</c:v>
                </c:pt>
                <c:pt idx="138">
                  <c:v>1361.2386000000001</c:v>
                </c:pt>
                <c:pt idx="139">
                  <c:v>1361.0256000000004</c:v>
                </c:pt>
                <c:pt idx="140">
                  <c:v>1360.9432999999999</c:v>
                </c:pt>
                <c:pt idx="141">
                  <c:v>1360.8266000000001</c:v>
                </c:pt>
                <c:pt idx="142">
                  <c:v>1360.6748999999998</c:v>
                </c:pt>
                <c:pt idx="143">
                  <c:v>1360.6198999999999</c:v>
                </c:pt>
                <c:pt idx="144">
                  <c:v>1360.5496000000001</c:v>
                </c:pt>
                <c:pt idx="145">
                  <c:v>1360.5801999999999</c:v>
                </c:pt>
                <c:pt idx="146">
                  <c:v>1360.7079000000001</c:v>
                </c:pt>
                <c:pt idx="147">
                  <c:v>1360.8062</c:v>
                </c:pt>
                <c:pt idx="148">
                  <c:v>1360.9075000000005</c:v>
                </c:pt>
                <c:pt idx="149">
                  <c:v>1361.1039999999998</c:v>
                </c:pt>
                <c:pt idx="150">
                  <c:v>1361.095</c:v>
                </c:pt>
                <c:pt idx="151">
                  <c:v>1360.8957</c:v>
                </c:pt>
                <c:pt idx="152">
                  <c:v>1360.9003</c:v>
                </c:pt>
                <c:pt idx="153">
                  <c:v>1360.8206</c:v>
                </c:pt>
                <c:pt idx="154">
                  <c:v>1360.7107000000001</c:v>
                </c:pt>
                <c:pt idx="155">
                  <c:v>1360.5872999999999</c:v>
                </c:pt>
                <c:pt idx="156">
                  <c:v>1360.5087000000001</c:v>
                </c:pt>
                <c:pt idx="157">
                  <c:v>1360.5111999999999</c:v>
                </c:pt>
                <c:pt idx="158">
                  <c:v>1360.6205</c:v>
                </c:pt>
                <c:pt idx="159">
                  <c:v>1360.8133999999998</c:v>
                </c:pt>
                <c:pt idx="160">
                  <c:v>1361.0312999999999</c:v>
                </c:pt>
                <c:pt idx="161">
                  <c:v>1361.0977</c:v>
                </c:pt>
                <c:pt idx="162">
                  <c:v>1360.9882</c:v>
                </c:pt>
                <c:pt idx="163">
                  <c:v>1360.8379</c:v>
                </c:pt>
                <c:pt idx="164">
                  <c:v>1360.7541999999999</c:v>
                </c:pt>
                <c:pt idx="165">
                  <c:v>1360.6918999999998</c:v>
                </c:pt>
                <c:pt idx="166">
                  <c:v>1360.6013999999998</c:v>
                </c:pt>
                <c:pt idx="167">
                  <c:v>1360.5378000000001</c:v>
                </c:pt>
                <c:pt idx="168">
                  <c:v>1360.4856000000004</c:v>
                </c:pt>
                <c:pt idx="169">
                  <c:v>1360.6452999999999</c:v>
                </c:pt>
                <c:pt idx="170">
                  <c:v>1360.8815999999999</c:v>
                </c:pt>
                <c:pt idx="171">
                  <c:v>1361.1202999999998</c:v>
                </c:pt>
                <c:pt idx="172">
                  <c:v>1361.0601999999999</c:v>
                </c:pt>
                <c:pt idx="173">
                  <c:v>1361.0135</c:v>
                </c:pt>
                <c:pt idx="174">
                  <c:v>1360.8125</c:v>
                </c:pt>
                <c:pt idx="175">
                  <c:v>1360.6840999999995</c:v>
                </c:pt>
                <c:pt idx="176">
                  <c:v>1360.5354</c:v>
                </c:pt>
                <c:pt idx="177">
                  <c:v>1360.4852000000001</c:v>
                </c:pt>
                <c:pt idx="178">
                  <c:v>1360.4855000000005</c:v>
                </c:pt>
                <c:pt idx="179">
                  <c:v>1360.4568000000004</c:v>
                </c:pt>
                <c:pt idx="180">
                  <c:v>1360.4792</c:v>
                </c:pt>
                <c:pt idx="181">
                  <c:v>1360.6259</c:v>
                </c:pt>
                <c:pt idx="182">
                  <c:v>1360.7701999999999</c:v>
                </c:pt>
                <c:pt idx="183">
                  <c:v>1360.7935</c:v>
                </c:pt>
                <c:pt idx="184">
                  <c:v>1360.8406</c:v>
                </c:pt>
                <c:pt idx="185">
                  <c:v>1360.7425000000001</c:v>
                </c:pt>
                <c:pt idx="186">
                  <c:v>1360.6328999999998</c:v>
                </c:pt>
                <c:pt idx="187">
                  <c:v>1360.4676000000004</c:v>
                </c:pt>
                <c:pt idx="188">
                  <c:v>1360.4241</c:v>
                </c:pt>
                <c:pt idx="189">
                  <c:v>1360.3887</c:v>
                </c:pt>
                <c:pt idx="190">
                  <c:v>1360.3602999999998</c:v>
                </c:pt>
                <c:pt idx="191">
                  <c:v>1360.3948999999998</c:v>
                </c:pt>
                <c:pt idx="192">
                  <c:v>1360.6462999999999</c:v>
                </c:pt>
                <c:pt idx="193">
                  <c:v>1360.7448999999999</c:v>
                </c:pt>
                <c:pt idx="194">
                  <c:v>1360.8859</c:v>
                </c:pt>
                <c:pt idx="195">
                  <c:v>1360.9811999999999</c:v>
                </c:pt>
                <c:pt idx="196">
                  <c:v>1360.8648999999998</c:v>
                </c:pt>
                <c:pt idx="197">
                  <c:v>1360.6839999999995</c:v>
                </c:pt>
                <c:pt idx="198">
                  <c:v>1360.5385000000001</c:v>
                </c:pt>
                <c:pt idx="199">
                  <c:v>1360.5158000000001</c:v>
                </c:pt>
                <c:pt idx="200">
                  <c:v>1360.4639999999999</c:v>
                </c:pt>
                <c:pt idx="201">
                  <c:v>1360.4332999999999</c:v>
                </c:pt>
                <c:pt idx="202">
                  <c:v>1360.3551</c:v>
                </c:pt>
                <c:pt idx="203">
                  <c:v>1360.3636999999999</c:v>
                </c:pt>
                <c:pt idx="204">
                  <c:v>1360.5737999999999</c:v>
                </c:pt>
                <c:pt idx="205">
                  <c:v>1360.8438999999998</c:v>
                </c:pt>
                <c:pt idx="206">
                  <c:v>1360.655</c:v>
                </c:pt>
                <c:pt idx="207">
                  <c:v>1360.8513999999998</c:v>
                </c:pt>
                <c:pt idx="208">
                  <c:v>1360.7356000000004</c:v>
                </c:pt>
                <c:pt idx="209">
                  <c:v>1360.8007</c:v>
                </c:pt>
                <c:pt idx="210">
                  <c:v>1360.6900999999998</c:v>
                </c:pt>
                <c:pt idx="211">
                  <c:v>1360.5568000000001</c:v>
                </c:pt>
                <c:pt idx="212">
                  <c:v>1360.4731999999999</c:v>
                </c:pt>
                <c:pt idx="213">
                  <c:v>1360.4269000000004</c:v>
                </c:pt>
                <c:pt idx="214">
                  <c:v>1360.4433999999999</c:v>
                </c:pt>
                <c:pt idx="215">
                  <c:v>1360.5102999999999</c:v>
                </c:pt>
                <c:pt idx="216">
                  <c:v>1360.8148999999999</c:v>
                </c:pt>
                <c:pt idx="217">
                  <c:v>1361.0248999999999</c:v>
                </c:pt>
                <c:pt idx="218">
                  <c:v>1361.1738999999998</c:v>
                </c:pt>
                <c:pt idx="219">
                  <c:v>1361.1355000000001</c:v>
                </c:pt>
                <c:pt idx="220">
                  <c:v>1360.9061000000004</c:v>
                </c:pt>
                <c:pt idx="221">
                  <c:v>1360.7437</c:v>
                </c:pt>
                <c:pt idx="222">
                  <c:v>1360.6386</c:v>
                </c:pt>
                <c:pt idx="223">
                  <c:v>1360.5207</c:v>
                </c:pt>
                <c:pt idx="224">
                  <c:v>1360.5523999999998</c:v>
                </c:pt>
                <c:pt idx="225">
                  <c:v>1360.5839999999998</c:v>
                </c:pt>
                <c:pt idx="226">
                  <c:v>1360.7881</c:v>
                </c:pt>
                <c:pt idx="227">
                  <c:v>1360.8891999999998</c:v>
                </c:pt>
                <c:pt idx="228">
                  <c:v>1361.0726999999999</c:v>
                </c:pt>
                <c:pt idx="229">
                  <c:v>1360.9503999999999</c:v>
                </c:pt>
                <c:pt idx="230">
                  <c:v>1360.9092000000001</c:v>
                </c:pt>
                <c:pt idx="231">
                  <c:v>1360.8913999999995</c:v>
                </c:pt>
                <c:pt idx="232">
                  <c:v>1360.7695000000001</c:v>
                </c:pt>
                <c:pt idx="233">
                  <c:v>1360.6622999999995</c:v>
                </c:pt>
                <c:pt idx="234">
                  <c:v>1360.5415</c:v>
                </c:pt>
                <c:pt idx="235">
                  <c:v>1360.6533999999995</c:v>
                </c:pt>
                <c:pt idx="236">
                  <c:v>1360.8697999999999</c:v>
                </c:pt>
                <c:pt idx="237">
                  <c:v>1361.2592</c:v>
                </c:pt>
                <c:pt idx="238">
                  <c:v>1361.1934999999996</c:v>
                </c:pt>
                <c:pt idx="239">
                  <c:v>1361.1289999999999</c:v>
                </c:pt>
                <c:pt idx="240">
                  <c:v>1361.1126999999999</c:v>
                </c:pt>
                <c:pt idx="241">
                  <c:v>1361.0500999999999</c:v>
                </c:pt>
                <c:pt idx="242">
                  <c:v>1360.971</c:v>
                </c:pt>
                <c:pt idx="243">
                  <c:v>1360.8678</c:v>
                </c:pt>
                <c:pt idx="244">
                  <c:v>1360.71</c:v>
                </c:pt>
                <c:pt idx="245">
                  <c:v>1360.7399</c:v>
                </c:pt>
                <c:pt idx="246">
                  <c:v>1361.0069000000001</c:v>
                </c:pt>
                <c:pt idx="247">
                  <c:v>1361.105</c:v>
                </c:pt>
                <c:pt idx="248">
                  <c:v>1361.3443999999995</c:v>
                </c:pt>
                <c:pt idx="249">
                  <c:v>1361.4748999999999</c:v>
                </c:pt>
                <c:pt idx="250">
                  <c:v>1361.3813999999998</c:v>
                </c:pt>
                <c:pt idx="251">
                  <c:v>1361.1389999999999</c:v>
                </c:pt>
                <c:pt idx="252">
                  <c:v>1360.9023999999999</c:v>
                </c:pt>
                <c:pt idx="253">
                  <c:v>1360.8934999999994</c:v>
                </c:pt>
                <c:pt idx="254">
                  <c:v>1360.7542999999998</c:v>
                </c:pt>
                <c:pt idx="255">
                  <c:v>1360.7822999999999</c:v>
                </c:pt>
                <c:pt idx="256">
                  <c:v>1360.9032</c:v>
                </c:pt>
                <c:pt idx="257">
                  <c:v>1361.4368000000004</c:v>
                </c:pt>
                <c:pt idx="258">
                  <c:v>1361.7939999999999</c:v>
                </c:pt>
                <c:pt idx="259">
                  <c:v>1361.7587000000001</c:v>
                </c:pt>
                <c:pt idx="260">
                  <c:v>1361.5087000000001</c:v>
                </c:pt>
                <c:pt idx="261">
                  <c:v>1361.4026000000001</c:v>
                </c:pt>
                <c:pt idx="262">
                  <c:v>1361.0458000000001</c:v>
                </c:pt>
                <c:pt idx="263">
                  <c:v>1360.8742999999995</c:v>
                </c:pt>
                <c:pt idx="264">
                  <c:v>1360.8221999999998</c:v>
                </c:pt>
                <c:pt idx="265">
                  <c:v>1360.8235</c:v>
                </c:pt>
                <c:pt idx="266">
                  <c:v>1360.86</c:v>
                </c:pt>
                <c:pt idx="267">
                  <c:v>1361.0436999999999</c:v>
                </c:pt>
                <c:pt idx="268">
                  <c:v>1361.2402</c:v>
                </c:pt>
                <c:pt idx="269">
                  <c:v>1361.2902999999999</c:v>
                </c:pt>
                <c:pt idx="270">
                  <c:v>1361.3734999999995</c:v>
                </c:pt>
                <c:pt idx="271">
                  <c:v>1361.3685</c:v>
                </c:pt>
                <c:pt idx="272">
                  <c:v>1361.0838999999999</c:v>
                </c:pt>
                <c:pt idx="273">
                  <c:v>1361.1783999999998</c:v>
                </c:pt>
                <c:pt idx="274">
                  <c:v>1360.9250000000004</c:v>
                </c:pt>
                <c:pt idx="275">
                  <c:v>1360.8529999999998</c:v>
                </c:pt>
                <c:pt idx="276">
                  <c:v>1360.6603999999998</c:v>
                </c:pt>
                <c:pt idx="277">
                  <c:v>1360.7711999999999</c:v>
                </c:pt>
                <c:pt idx="278">
                  <c:v>1360.9590000000001</c:v>
                </c:pt>
                <c:pt idx="279">
                  <c:v>1361.4006000000004</c:v>
                </c:pt>
                <c:pt idx="280">
                  <c:v>1361.7607</c:v>
                </c:pt>
                <c:pt idx="281">
                  <c:v>1361.7740999999999</c:v>
                </c:pt>
                <c:pt idx="282">
                  <c:v>1361.8209999999999</c:v>
                </c:pt>
                <c:pt idx="283">
                  <c:v>1361.4118000000001</c:v>
                </c:pt>
                <c:pt idx="284">
                  <c:v>1361.3251</c:v>
                </c:pt>
                <c:pt idx="285">
                  <c:v>1360.9362000000001</c:v>
                </c:pt>
                <c:pt idx="286">
                  <c:v>1360.7674999999999</c:v>
                </c:pt>
                <c:pt idx="287">
                  <c:v>1360.7637999999999</c:v>
                </c:pt>
                <c:pt idx="288">
                  <c:v>1360.9158000000004</c:v>
                </c:pt>
                <c:pt idx="289">
                  <c:v>1361.2085000000004</c:v>
                </c:pt>
                <c:pt idx="290">
                  <c:v>1361.7737999999999</c:v>
                </c:pt>
                <c:pt idx="291">
                  <c:v>1361.6791999999998</c:v>
                </c:pt>
                <c:pt idx="292">
                  <c:v>1361.5716</c:v>
                </c:pt>
                <c:pt idx="293">
                  <c:v>1361.4280000000001</c:v>
                </c:pt>
                <c:pt idx="294">
                  <c:v>1361.1544999999996</c:v>
                </c:pt>
                <c:pt idx="295">
                  <c:v>1360.923</c:v>
                </c:pt>
                <c:pt idx="296">
                  <c:v>1360.8254999999999</c:v>
                </c:pt>
                <c:pt idx="297">
                  <c:v>1360.7380000000001</c:v>
                </c:pt>
                <c:pt idx="298">
                  <c:v>1360.8658</c:v>
                </c:pt>
                <c:pt idx="299">
                  <c:v>1361.2280000000001</c:v>
                </c:pt>
                <c:pt idx="300">
                  <c:v>1361.511</c:v>
                </c:pt>
                <c:pt idx="301">
                  <c:v>1361.7912999999999</c:v>
                </c:pt>
                <c:pt idx="302">
                  <c:v>1361.7281</c:v>
                </c:pt>
                <c:pt idx="303">
                  <c:v>1361.8066000000001</c:v>
                </c:pt>
                <c:pt idx="304">
                  <c:v>1361.308</c:v>
                </c:pt>
                <c:pt idx="305">
                  <c:v>1361.1848999999995</c:v>
                </c:pt>
                <c:pt idx="306">
                  <c:v>1361.0062</c:v>
                </c:pt>
                <c:pt idx="307">
                  <c:v>1360.9401</c:v>
                </c:pt>
                <c:pt idx="308">
                  <c:v>1360.8497</c:v>
                </c:pt>
                <c:pt idx="309">
                  <c:v>1360.8225</c:v>
                </c:pt>
                <c:pt idx="310">
                  <c:v>1360.8416</c:v>
                </c:pt>
                <c:pt idx="311">
                  <c:v>1361.0829999999999</c:v>
                </c:pt>
                <c:pt idx="312">
                  <c:v>1361.3472999999999</c:v>
                </c:pt>
              </c:numCache>
            </c:numRef>
          </c:val>
          <c:smooth val="1"/>
        </c:ser>
        <c:marker val="1"/>
        <c:axId val="62950400"/>
        <c:axId val="62956288"/>
      </c:lineChart>
      <c:dateAx>
        <c:axId val="62938112"/>
        <c:scaling>
          <c:orientation val="minMax"/>
        </c:scaling>
        <c:axPos val="b"/>
        <c:title>
          <c:tx>
            <c:rich>
              <a:bodyPr/>
              <a:lstStyle/>
              <a:p>
                <a:pPr>
                  <a:defRPr sz="1000" b="1" i="0" u="none" strike="noStrike" baseline="0">
                    <a:solidFill>
                      <a:srgbClr val="000000"/>
                    </a:solidFill>
                    <a:latin typeface="Arial"/>
                    <a:ea typeface="Arial"/>
                    <a:cs typeface="Arial"/>
                  </a:defRPr>
                </a:pPr>
                <a:r>
                  <a:rPr lang="en-US"/>
                  <a:t>Years</a:t>
                </a:r>
              </a:p>
            </c:rich>
          </c:tx>
          <c:layout>
            <c:manualLayout>
              <c:xMode val="edge"/>
              <c:yMode val="edge"/>
              <c:x val="0.48329078669567282"/>
              <c:y val="0.92487054931051205"/>
            </c:manualLayout>
          </c:layout>
          <c:spPr>
            <a:noFill/>
            <a:ln w="25388">
              <a:noFill/>
            </a:ln>
          </c:spPr>
        </c:title>
        <c:numFmt formatCode="General" sourceLinked="0"/>
        <c:majorTickMark val="cross"/>
        <c:tickLblPos val="nextTo"/>
        <c:spPr>
          <a:ln w="3173">
            <a:solidFill>
              <a:srgbClr val="000000"/>
            </a:solidFill>
            <a:prstDash val="solid"/>
          </a:ln>
        </c:spPr>
        <c:txPr>
          <a:bodyPr rot="-5400000" vert="horz"/>
          <a:lstStyle/>
          <a:p>
            <a:pPr>
              <a:defRPr sz="900" b="1" i="0" u="none" strike="noStrike" baseline="0">
                <a:solidFill>
                  <a:srgbClr val="000000"/>
                </a:solidFill>
                <a:latin typeface="Arial"/>
                <a:ea typeface="Arial"/>
                <a:cs typeface="Arial"/>
              </a:defRPr>
            </a:pPr>
            <a:endParaRPr lang="en-US"/>
          </a:p>
        </c:txPr>
        <c:crossAx val="62948480"/>
        <c:crosses val="autoZero"/>
        <c:lblOffset val="100"/>
        <c:baseTimeUnit val="days"/>
        <c:majorUnit val="10"/>
        <c:majorTimeUnit val="days"/>
        <c:minorUnit val="1"/>
        <c:minorTimeUnit val="days"/>
      </c:dateAx>
      <c:valAx>
        <c:axId val="62948480"/>
        <c:scaling>
          <c:orientation val="minMax"/>
          <c:max val="300"/>
        </c:scaling>
        <c:axPos val="l"/>
        <c:majorGridlines/>
        <c:title>
          <c:tx>
            <c:rich>
              <a:bodyPr/>
              <a:lstStyle/>
              <a:p>
                <a:pPr>
                  <a:defRPr sz="1000" b="1" i="0" u="none" strike="noStrike" baseline="0">
                    <a:solidFill>
                      <a:srgbClr val="000000"/>
                    </a:solidFill>
                    <a:latin typeface="Arial"/>
                    <a:ea typeface="Arial"/>
                    <a:cs typeface="Arial"/>
                  </a:defRPr>
                </a:pPr>
                <a:r>
                  <a:rPr lang="en-US"/>
                  <a:t>Sunspot Number (SSN) </a:t>
                </a:r>
              </a:p>
            </c:rich>
          </c:tx>
          <c:layout>
            <c:manualLayout>
              <c:xMode val="edge"/>
              <c:yMode val="edge"/>
              <c:x val="2.2279293327942821E-2"/>
              <c:y val="0.26919663995229998"/>
            </c:manualLayout>
          </c:layout>
          <c:spPr>
            <a:noFill/>
            <a:ln w="25388">
              <a:noFill/>
            </a:ln>
          </c:spPr>
        </c:title>
        <c:numFmt formatCode="General" sourceLinked="1"/>
        <c:majorTickMark val="cross"/>
        <c:tickLblPos val="nextTo"/>
        <c:spPr>
          <a:ln w="3173">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en-US"/>
          </a:p>
        </c:txPr>
        <c:crossAx val="62938112"/>
        <c:crosses val="autoZero"/>
        <c:crossBetween val="between"/>
        <c:majorUnit val="100"/>
      </c:valAx>
      <c:dateAx>
        <c:axId val="62950400"/>
        <c:scaling>
          <c:orientation val="minMax"/>
        </c:scaling>
        <c:delete val="1"/>
        <c:axPos val="b"/>
        <c:numFmt formatCode="General" sourceLinked="1"/>
        <c:tickLblPos val="nextTo"/>
        <c:crossAx val="62956288"/>
        <c:crosses val="autoZero"/>
        <c:lblOffset val="100"/>
        <c:baseTimeUnit val="days"/>
      </c:dateAx>
      <c:valAx>
        <c:axId val="62956288"/>
        <c:scaling>
          <c:orientation val="minMax"/>
          <c:max val="1362"/>
          <c:min val="1359"/>
        </c:scaling>
        <c:axPos val="r"/>
        <c:title>
          <c:tx>
            <c:rich>
              <a:bodyPr rot="-5400000" vert="horz"/>
              <a:lstStyle/>
              <a:p>
                <a:pPr>
                  <a:defRPr/>
                </a:pPr>
                <a:r>
                  <a:rPr lang="en-US"/>
                  <a:t>Total</a:t>
                </a:r>
                <a:r>
                  <a:rPr lang="en-US" baseline="0"/>
                  <a:t> Solar Irradiance (</a:t>
                </a:r>
                <a:r>
                  <a:rPr lang="en-US"/>
                  <a:t>TSI)</a:t>
                </a:r>
              </a:p>
            </c:rich>
          </c:tx>
          <c:layout>
            <c:manualLayout>
              <c:xMode val="edge"/>
              <c:yMode val="edge"/>
              <c:x val="0.96317899749083946"/>
              <c:y val="0.20121214246882846"/>
            </c:manualLayout>
          </c:layout>
        </c:title>
        <c:numFmt formatCode="General" sourceLinked="1"/>
        <c:majorTickMark val="cross"/>
        <c:tickLblPos val="nextTo"/>
        <c:spPr>
          <a:ln w="3173">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en-US"/>
          </a:p>
        </c:txPr>
        <c:crossAx val="62950400"/>
        <c:crosses val="max"/>
        <c:crossBetween val="between"/>
        <c:majorUnit val="1"/>
      </c:valAx>
      <c:spPr>
        <a:solidFill>
          <a:srgbClr val="FFFFFF"/>
        </a:solidFill>
        <a:ln w="12694">
          <a:solidFill>
            <a:srgbClr val="808080"/>
          </a:solidFill>
          <a:prstDash val="solid"/>
        </a:ln>
      </c:spPr>
    </c:plotArea>
    <c:legend>
      <c:legendPos val="t"/>
    </c:legend>
    <c:plotVisOnly val="1"/>
    <c:dispBlanksAs val="gap"/>
  </c:chart>
  <c:spPr>
    <a:solidFill>
      <a:srgbClr val="FFFFFF"/>
    </a:solidFill>
    <a:ln w="3173">
      <a:solidFill>
        <a:srgbClr val="000000"/>
      </a:solidFill>
      <a:prstDash val="solid"/>
    </a:ln>
  </c:spPr>
  <c:txPr>
    <a:bodyPr/>
    <a:lstStyle/>
    <a:p>
      <a:pPr>
        <a:defRPr sz="1000" b="1" i="0" u="none" strike="noStrike" baseline="0">
          <a:solidFill>
            <a:srgbClr val="000000"/>
          </a:solidFill>
          <a:latin typeface="Arial"/>
          <a:ea typeface="Arial"/>
          <a:cs typeface="Arial"/>
        </a:defRPr>
      </a:pPr>
      <a:endParaRPr lang="en-US"/>
    </a:p>
  </c:txPr>
  <c:externalData r:id="rId2"/>
  <c:userShapes r:id="rId3"/>
</c:chartSpace>
</file>

<file path=word/drawings/drawing1.xml><?xml version="1.0" encoding="utf-8"?>
<c:userShapes xmlns:c="http://schemas.openxmlformats.org/drawingml/2006/chart">
  <cdr:relSizeAnchor xmlns:cdr="http://schemas.openxmlformats.org/drawingml/2006/chartDrawing">
    <cdr:from>
      <cdr:x>0.19225</cdr:x>
      <cdr:y>0.33185</cdr:y>
    </cdr:from>
    <cdr:to>
      <cdr:x>0.23371</cdr:x>
      <cdr:y>0.41386</cdr:y>
    </cdr:to>
    <cdr:sp macro="" textlink="">
      <cdr:nvSpPr>
        <cdr:cNvPr id="5122" name="Text Box 1026"/>
        <cdr:cNvSpPr txBox="1">
          <a:spLocks xmlns:a="http://schemas.openxmlformats.org/drawingml/2006/main" noChangeArrowheads="1"/>
        </cdr:cNvSpPr>
      </cdr:nvSpPr>
      <cdr:spPr bwMode="auto">
        <a:xfrm xmlns:a="http://schemas.openxmlformats.org/drawingml/2006/main">
          <a:off x="1429679" y="1077857"/>
          <a:ext cx="307639" cy="26560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0.37463</cdr:x>
      <cdr:y>0.14889</cdr:y>
    </cdr:from>
    <cdr:to>
      <cdr:x>0.40992</cdr:x>
      <cdr:y>0.20567</cdr:y>
    </cdr:to>
    <cdr:sp macro="" textlink="">
      <cdr:nvSpPr>
        <cdr:cNvPr id="5123" name="Text Box 1027"/>
        <cdr:cNvSpPr txBox="1">
          <a:spLocks xmlns:a="http://schemas.openxmlformats.org/drawingml/2006/main" noChangeArrowheads="1"/>
        </cdr:cNvSpPr>
      </cdr:nvSpPr>
      <cdr:spPr bwMode="auto">
        <a:xfrm xmlns:a="http://schemas.openxmlformats.org/drawingml/2006/main">
          <a:off x="2782922" y="485354"/>
          <a:ext cx="261859" cy="1838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0.60341</cdr:x>
      <cdr:y>0.14889</cdr:y>
    </cdr:from>
    <cdr:to>
      <cdr:x>0.61599</cdr:x>
      <cdr:y>0.17752</cdr:y>
    </cdr:to>
    <cdr:sp macro="" textlink="">
      <cdr:nvSpPr>
        <cdr:cNvPr id="5124" name="Text Box 1028"/>
        <cdr:cNvSpPr txBox="1">
          <a:spLocks xmlns:a="http://schemas.openxmlformats.org/drawingml/2006/main" noChangeArrowheads="1"/>
        </cdr:cNvSpPr>
      </cdr:nvSpPr>
      <cdr:spPr bwMode="auto">
        <a:xfrm xmlns:a="http://schemas.openxmlformats.org/drawingml/2006/main">
          <a:off x="4480427" y="485354"/>
          <a:ext cx="93391" cy="9272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0.56417</cdr:x>
      <cdr:y>0.12535</cdr:y>
    </cdr:from>
    <cdr:to>
      <cdr:x>0.59403</cdr:x>
      <cdr:y>0.19402</cdr:y>
    </cdr:to>
    <cdr:sp macro="" textlink="">
      <cdr:nvSpPr>
        <cdr:cNvPr id="5125" name="Text Box 1029"/>
        <cdr:cNvSpPr txBox="1">
          <a:spLocks xmlns:a="http://schemas.openxmlformats.org/drawingml/2006/main" noChangeArrowheads="1"/>
        </cdr:cNvSpPr>
      </cdr:nvSpPr>
      <cdr:spPr bwMode="auto">
        <a:xfrm xmlns:a="http://schemas.openxmlformats.org/drawingml/2006/main">
          <a:off x="4189270" y="409131"/>
          <a:ext cx="221573" cy="22238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0.7537</cdr:x>
      <cdr:y>0.25978</cdr:y>
    </cdr:from>
    <cdr:to>
      <cdr:x>0.80306</cdr:x>
      <cdr:y>0.33185</cdr:y>
    </cdr:to>
    <cdr:sp macro="" textlink="">
      <cdr:nvSpPr>
        <cdr:cNvPr id="5126" name="Text Box 1030"/>
        <cdr:cNvSpPr txBox="1">
          <a:spLocks xmlns:a="http://schemas.openxmlformats.org/drawingml/2006/main" noChangeArrowheads="1"/>
        </cdr:cNvSpPr>
      </cdr:nvSpPr>
      <cdr:spPr bwMode="auto">
        <a:xfrm xmlns:a="http://schemas.openxmlformats.org/drawingml/2006/main">
          <a:off x="5595617" y="844471"/>
          <a:ext cx="366236" cy="23338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0.3329</cdr:x>
      <cdr:y>0.04225</cdr:y>
    </cdr:from>
    <cdr:to>
      <cdr:x>0.70566</cdr:x>
      <cdr:y>0.09577</cdr:y>
    </cdr:to>
    <cdr:sp macro="" textlink="">
      <cdr:nvSpPr>
        <cdr:cNvPr id="3" name="TextBox 2"/>
        <cdr:cNvSpPr txBox="1"/>
      </cdr:nvSpPr>
      <cdr:spPr>
        <a:xfrm xmlns:a="http://schemas.openxmlformats.org/drawingml/2006/main">
          <a:off x="2466975" y="142875"/>
          <a:ext cx="2762250"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0.34576</cdr:x>
      <cdr:y>0.01408</cdr:y>
    </cdr:from>
    <cdr:to>
      <cdr:x>0.74036</cdr:x>
      <cdr:y>0.08732</cdr:y>
    </cdr:to>
    <cdr:sp macro="" textlink="">
      <cdr:nvSpPr>
        <cdr:cNvPr id="4" name="TextBox 3"/>
        <cdr:cNvSpPr txBox="1"/>
      </cdr:nvSpPr>
      <cdr:spPr>
        <a:xfrm xmlns:a="http://schemas.openxmlformats.org/drawingml/2006/main">
          <a:off x="2562224" y="47625"/>
          <a:ext cx="2924176"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7</Pages>
  <Words>3958</Words>
  <Characters>22564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karan4</dc:creator>
  <cp:lastModifiedBy>Unique Computer</cp:lastModifiedBy>
  <cp:revision>2</cp:revision>
  <dcterms:created xsi:type="dcterms:W3CDTF">2017-09-19T09:33:00Z</dcterms:created>
  <dcterms:modified xsi:type="dcterms:W3CDTF">2017-09-19T09:33:00Z</dcterms:modified>
</cp:coreProperties>
</file>