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356D3" w14:textId="2E2491BB" w:rsidR="00210EFA" w:rsidRPr="001C48E9" w:rsidRDefault="00210EFA" w:rsidP="00210E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C48E9">
        <w:rPr>
          <w:rFonts w:ascii="Times New Roman" w:hAnsi="Times New Roman" w:cs="Times New Roman"/>
          <w:sz w:val="28"/>
          <w:szCs w:val="28"/>
        </w:rPr>
        <w:t xml:space="preserve">Long non-coding RNAs </w:t>
      </w:r>
      <w:r w:rsidR="001C48E9" w:rsidRPr="001C48E9">
        <w:rPr>
          <w:rFonts w:ascii="Times New Roman" w:hAnsi="Times New Roman" w:cs="Times New Roman"/>
          <w:sz w:val="28"/>
          <w:szCs w:val="28"/>
        </w:rPr>
        <w:t>as potential biomarkers for cancer diagnosis and prognosis</w:t>
      </w:r>
    </w:p>
    <w:p w14:paraId="5196B25F" w14:textId="77777777" w:rsidR="00210EFA" w:rsidRDefault="00210EFA" w:rsidP="00210E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1D45B890" w14:textId="77777777" w:rsidR="00192C7D" w:rsidRDefault="00192C7D" w:rsidP="002D521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92C7D">
        <w:rPr>
          <w:rFonts w:ascii="Times New Roman" w:hAnsi="Times New Roman" w:cs="Times New Roman"/>
        </w:rPr>
        <w:t>LncRNAs are a class of RNA</w:t>
      </w:r>
      <w:r>
        <w:rPr>
          <w:rFonts w:ascii="Times New Roman" w:hAnsi="Times New Roman" w:cs="Times New Roman"/>
        </w:rPr>
        <w:t>,</w:t>
      </w:r>
      <w:r w:rsidRPr="00192C7D">
        <w:rPr>
          <w:rFonts w:ascii="Times New Roman" w:hAnsi="Times New Roman" w:cs="Times New Roman"/>
        </w:rPr>
        <w:t xml:space="preserve"> which can serve as a better prognostic marker than protein coding mRNAs because they are numero</w:t>
      </w:r>
      <w:r>
        <w:rPr>
          <w:rFonts w:ascii="Times New Roman" w:hAnsi="Times New Roman" w:cs="Times New Roman"/>
        </w:rPr>
        <w:t>us and cell-type specific</w:t>
      </w:r>
      <w:r w:rsidRPr="00192C7D">
        <w:rPr>
          <w:rFonts w:ascii="Times New Roman" w:hAnsi="Times New Roman" w:cs="Times New Roman"/>
        </w:rPr>
        <w:t xml:space="preserve">. Additionally, since lncRNAs do not encode protein, they are the ultimate effectors, and their expression levels more accurately predict the levels of their activity. Recent studies have detected tumor-specific lncRNAs in </w:t>
      </w:r>
      <w:proofErr w:type="spellStart"/>
      <w:r w:rsidRPr="00192C7D">
        <w:rPr>
          <w:rFonts w:ascii="Times New Roman" w:hAnsi="Times New Roman" w:cs="Times New Roman"/>
        </w:rPr>
        <w:t>exosomes</w:t>
      </w:r>
      <w:proofErr w:type="spellEnd"/>
      <w:r w:rsidRPr="00192C7D">
        <w:rPr>
          <w:rFonts w:ascii="Times New Roman" w:hAnsi="Times New Roman" w:cs="Times New Roman"/>
        </w:rPr>
        <w:t xml:space="preserve">, apoptotic bodies and </w:t>
      </w:r>
      <w:proofErr w:type="spellStart"/>
      <w:r w:rsidRPr="00192C7D">
        <w:rPr>
          <w:rFonts w:ascii="Times New Roman" w:hAnsi="Times New Roman" w:cs="Times New Roman"/>
        </w:rPr>
        <w:t>microparticles</w:t>
      </w:r>
      <w:proofErr w:type="spellEnd"/>
      <w:r w:rsidRPr="00192C7D">
        <w:rPr>
          <w:rFonts w:ascii="Times New Roman" w:hAnsi="Times New Roman" w:cs="Times New Roman"/>
        </w:rPr>
        <w:t xml:space="preserve"> highlighting another advantage of considering lncRNAs in tumors, because they are expected to appear as fluid-based markers for the diagnosis of different cancers</w:t>
      </w:r>
      <w:r>
        <w:rPr>
          <w:rFonts w:ascii="Times New Roman" w:hAnsi="Times New Roman" w:cs="Times New Roman"/>
        </w:rPr>
        <w:t>.</w:t>
      </w:r>
    </w:p>
    <w:p w14:paraId="6FF227BB" w14:textId="77777777" w:rsidR="002D521D" w:rsidRDefault="002D521D" w:rsidP="002D521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have developed a computational model, UVA8, for prognosis of lower-grade gliomas</w:t>
      </w:r>
    </w:p>
    <w:p w14:paraId="16C61BD2" w14:textId="47D711F8" w:rsidR="00192C7D" w:rsidRDefault="002D521D" w:rsidP="002D521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by</w:t>
      </w:r>
      <w:proofErr w:type="gramEnd"/>
      <w:r>
        <w:rPr>
          <w:rFonts w:ascii="Times New Roman" w:hAnsi="Times New Roman" w:cs="Times New Roman"/>
        </w:rPr>
        <w:t xml:space="preserve"> combining lncRNA expression, Cox regression and L1-LASSO penalization. The model was trained on a subset of patients in TCGA. Patients in TCGA, as well as a completely independent validation set</w:t>
      </w:r>
      <w:r w:rsidR="007D1BC3">
        <w:rPr>
          <w:rFonts w:ascii="Times New Roman" w:hAnsi="Times New Roman" w:cs="Times New Roman"/>
        </w:rPr>
        <w:t xml:space="preserve"> from Chinese cohort</w:t>
      </w:r>
      <w:r>
        <w:rPr>
          <w:rFonts w:ascii="Times New Roman" w:hAnsi="Times New Roman" w:cs="Times New Roman"/>
        </w:rPr>
        <w:t xml:space="preserve"> (CGGA) could be dichotomized based on their risk score, a linear combination of the level of each prognostic lncRNA weighted by its multivariable cox regression coefficient. UVA8 is an independent predictor of survival</w:t>
      </w:r>
      <w:r w:rsidR="007D1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outperforms standard epidemiological approaches and previous published</w:t>
      </w:r>
      <w:r w:rsidR="007D1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lncRNA-based predictors as a survival model. Guilt-by-association studies of the</w:t>
      </w:r>
      <w:r w:rsidR="007D1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lncRNAs in UVA8, all of which predict good outcome, suggest they have a role in</w:t>
      </w:r>
      <w:r w:rsidR="007D1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suppressing interferon stimulated response and epithelial to </w:t>
      </w:r>
      <w:proofErr w:type="spellStart"/>
      <w:r>
        <w:rPr>
          <w:rFonts w:ascii="Times New Roman" w:hAnsi="Times New Roman" w:cs="Times New Roman"/>
        </w:rPr>
        <w:t>mesenchymal</w:t>
      </w:r>
      <w:proofErr w:type="spellEnd"/>
      <w:r>
        <w:rPr>
          <w:rFonts w:ascii="Times New Roman" w:hAnsi="Times New Roman" w:cs="Times New Roman"/>
        </w:rPr>
        <w:t xml:space="preserve"> transition.</w:t>
      </w:r>
      <w:r w:rsidR="007D1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expression levels of 8 lncRNAs can be combined to produce a prognostic tool</w:t>
      </w:r>
      <w:r w:rsidR="007D1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applicable to diverse populations of glioma patients. </w:t>
      </w:r>
      <w:r w:rsidR="00192C7D" w:rsidRPr="00192C7D">
        <w:rPr>
          <w:rFonts w:ascii="Times New Roman" w:hAnsi="Times New Roman" w:cs="Times New Roman"/>
        </w:rPr>
        <w:t>Since UVA8 is also a better predictor than the few patient and molecular characteristics currently used for prognosis in the clinic, a simple RNA quantification will aid the physician to decide whether to adopt more aggressive therapy at the outset.</w:t>
      </w:r>
      <w:r w:rsidR="009F41B8">
        <w:rPr>
          <w:rFonts w:ascii="Times New Roman" w:hAnsi="Times New Roman" w:cs="Times New Roman"/>
        </w:rPr>
        <w:t xml:space="preserve"> </w:t>
      </w:r>
    </w:p>
    <w:bookmarkEnd w:id="0"/>
    <w:p w14:paraId="492600E9" w14:textId="77777777" w:rsidR="009F41B8" w:rsidRDefault="009F41B8" w:rsidP="007B0B3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EE24DEF" w14:textId="20D93D86" w:rsidR="00550793" w:rsidRDefault="00550793" w:rsidP="00210EFA">
      <w:pPr>
        <w:jc w:val="both"/>
      </w:pPr>
    </w:p>
    <w:sectPr w:rsidR="00550793" w:rsidSect="001B59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FA"/>
    <w:rsid w:val="00192C7D"/>
    <w:rsid w:val="001B5962"/>
    <w:rsid w:val="001C48E9"/>
    <w:rsid w:val="00210EFA"/>
    <w:rsid w:val="002D521D"/>
    <w:rsid w:val="00550793"/>
    <w:rsid w:val="005B4A1C"/>
    <w:rsid w:val="007B0B3D"/>
    <w:rsid w:val="007D1BC3"/>
    <w:rsid w:val="008A5D0F"/>
    <w:rsid w:val="009F41B8"/>
    <w:rsid w:val="00D9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0CDA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</Pages>
  <Words>282</Words>
  <Characters>1609</Characters>
  <Application>Microsoft Macintosh Word</Application>
  <DocSecurity>0</DocSecurity>
  <Lines>13</Lines>
  <Paragraphs>3</Paragraphs>
  <ScaleCrop>false</ScaleCrop>
  <Company>UVA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MANJARI KIRAN</dc:creator>
  <cp:keywords/>
  <dc:description/>
  <cp:lastModifiedBy>MANJARI KIRAN</cp:lastModifiedBy>
  <cp:revision>7</cp:revision>
  <dcterms:created xsi:type="dcterms:W3CDTF">2019-12-26T12:32:00Z</dcterms:created>
  <dcterms:modified xsi:type="dcterms:W3CDTF">2019-12-27T02:26:00Z</dcterms:modified>
</cp:coreProperties>
</file>